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C5A4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Proračunski korisnik: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Sveučilište u Zagrebu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-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Geodetski fakultet </w:t>
      </w:r>
    </w:p>
    <w:p w14:paraId="35C41186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RKP: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1853</w:t>
      </w:r>
    </w:p>
    <w:p w14:paraId="3DE11F91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Razina: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11</w:t>
      </w:r>
    </w:p>
    <w:p w14:paraId="0084C802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Razdjel: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080 Ministarstvo znanosti, obrazovanja i sporta</w:t>
      </w:r>
    </w:p>
    <w:p w14:paraId="00F9AF66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Šifra djelatnosti: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8542 Visoko obrazovanje</w:t>
      </w:r>
    </w:p>
    <w:p w14:paraId="05CA9827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Matični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3204987</w:t>
      </w:r>
    </w:p>
    <w:p w14:paraId="483BC2B4" w14:textId="77777777" w:rsidR="009B1CA1" w:rsidRPr="006B3023" w:rsidRDefault="009B1CA1" w:rsidP="009B1CA1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OIB: </w:t>
      </w:r>
      <w:r w:rsidRPr="006B3023">
        <w:rPr>
          <w:rFonts w:ascii="Times New Roman" w:hAnsi="Times New Roman"/>
          <w:b/>
          <w:bCs/>
          <w:sz w:val="24"/>
          <w:szCs w:val="24"/>
          <w:lang w:val="hr-HR"/>
        </w:rPr>
        <w:t>43594593297</w:t>
      </w:r>
    </w:p>
    <w:p w14:paraId="37A95D3D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Pošta i mjesto: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10000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Zagreb</w:t>
      </w:r>
    </w:p>
    <w:p w14:paraId="776AB277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Ulica i kućni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Kačićeva 26</w:t>
      </w:r>
    </w:p>
    <w:p w14:paraId="534D801B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F3875D5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40D470C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C6B4297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9E693A4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3DBACCED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2546B7A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3BABF6D2" w14:textId="77777777" w:rsidR="009B1CA1" w:rsidRPr="006A7A1D" w:rsidRDefault="009B1CA1" w:rsidP="009B1CA1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F28A56A" w14:textId="3CE1CBD6" w:rsidR="009B1CA1" w:rsidRPr="006A7A1D" w:rsidRDefault="009B1CA1" w:rsidP="009B1C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OBRAZLOŽENJE </w:t>
      </w:r>
      <w:r>
        <w:rPr>
          <w:rFonts w:ascii="Times New Roman" w:hAnsi="Times New Roman"/>
          <w:b/>
          <w:sz w:val="24"/>
          <w:szCs w:val="24"/>
          <w:lang w:val="hr-HR"/>
        </w:rPr>
        <w:t>POLU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GODIŠNJEG IZVJEŠTAJA O IZVRŠENJU</w:t>
      </w:r>
    </w:p>
    <w:p w14:paraId="655EA627" w14:textId="77777777" w:rsidR="009B1CA1" w:rsidRPr="006A7A1D" w:rsidRDefault="009B1CA1" w:rsidP="009B1C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FINANCIJSKOG PLANA </w:t>
      </w:r>
    </w:p>
    <w:p w14:paraId="7B190D6A" w14:textId="67095C33" w:rsidR="009B1CA1" w:rsidRPr="006A7A1D" w:rsidRDefault="009B1CA1" w:rsidP="009B1C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ZA RAZDOBLJE OD 01. SIJEČNJA DO 3</w:t>
      </w:r>
      <w:r>
        <w:rPr>
          <w:rFonts w:ascii="Times New Roman" w:hAnsi="Times New Roman"/>
          <w:b/>
          <w:sz w:val="24"/>
          <w:szCs w:val="24"/>
          <w:lang w:val="hr-HR"/>
        </w:rPr>
        <w:t>0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>LIPNJA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. GODINE</w:t>
      </w:r>
    </w:p>
    <w:p w14:paraId="0B24A741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83112F3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2DB0BFCE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0BB1F45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5AB8750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072DB9C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415FB774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00DB76F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942CC14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29C024C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610C7CC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4CCD9AB3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6B4AAB5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C05A7E3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00689E7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5E545F8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7BA403D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2BDBB3A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23C48C32" w14:textId="77777777" w:rsidR="009B1CA1" w:rsidRPr="006A7A1D" w:rsidRDefault="009B1CA1" w:rsidP="009B1CA1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464311C3" w14:textId="1149AD8C" w:rsidR="009B1CA1" w:rsidRPr="006A7A1D" w:rsidRDefault="009B1CA1" w:rsidP="009B1CA1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Zagreb, </w:t>
      </w:r>
      <w:r>
        <w:rPr>
          <w:rFonts w:ascii="Times New Roman" w:hAnsi="Times New Roman"/>
          <w:sz w:val="24"/>
          <w:szCs w:val="24"/>
          <w:lang w:val="hr-HR"/>
        </w:rPr>
        <w:t>14</w:t>
      </w:r>
      <w:r w:rsidRPr="006A7A1D">
        <w:rPr>
          <w:rFonts w:ascii="Times New Roman" w:hAnsi="Times New Roman"/>
          <w:sz w:val="24"/>
          <w:szCs w:val="24"/>
          <w:lang w:val="hr-HR"/>
        </w:rPr>
        <w:t>.0</w:t>
      </w:r>
      <w:r>
        <w:rPr>
          <w:rFonts w:ascii="Times New Roman" w:hAnsi="Times New Roman"/>
          <w:sz w:val="24"/>
          <w:szCs w:val="24"/>
          <w:lang w:val="hr-HR"/>
        </w:rPr>
        <w:t>7</w:t>
      </w:r>
      <w:r w:rsidRPr="006A7A1D">
        <w:rPr>
          <w:rFonts w:ascii="Times New Roman" w:hAnsi="Times New Roman"/>
          <w:sz w:val="24"/>
          <w:szCs w:val="24"/>
          <w:lang w:val="hr-HR"/>
        </w:rPr>
        <w:t>.2025.</w:t>
      </w:r>
    </w:p>
    <w:p w14:paraId="140916A1" w14:textId="580701EC" w:rsidR="009B1CA1" w:rsidRDefault="009B1CA1" w:rsidP="0011159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 Općeg dijela izvještaja o izvršenju financijskog plana Sveučilišta u Zagrebu – Geodetskog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fakulteta za</w:t>
      </w:r>
      <w:r w:rsidR="00111599">
        <w:rPr>
          <w:rFonts w:ascii="Times New Roman" w:hAnsi="Times New Roman"/>
          <w:b/>
          <w:bCs/>
          <w:sz w:val="24"/>
          <w:szCs w:val="24"/>
          <w:lang w:val="hr-HR"/>
        </w:rPr>
        <w:t xml:space="preserve"> razdoblje I.-VI.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202</w:t>
      </w:r>
      <w:r w:rsidR="00111599"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 godin</w:t>
      </w:r>
      <w:r w:rsidR="00111599">
        <w:rPr>
          <w:rFonts w:ascii="Times New Roman" w:hAnsi="Times New Roman"/>
          <w:b/>
          <w:bCs/>
          <w:sz w:val="24"/>
          <w:szCs w:val="24"/>
          <w:lang w:val="hr-HR"/>
        </w:rPr>
        <w:t>e</w:t>
      </w:r>
    </w:p>
    <w:p w14:paraId="2E63822D" w14:textId="77777777" w:rsidR="00111599" w:rsidRPr="00111599" w:rsidRDefault="00111599" w:rsidP="00111599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BB5DAF5" w14:textId="77777777" w:rsidR="009B1CA1" w:rsidRPr="006A7A1D" w:rsidRDefault="009B1CA1" w:rsidP="009B1CA1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4A9DB2E2" w14:textId="77777777" w:rsidR="009B1CA1" w:rsidRPr="006A7A1D" w:rsidRDefault="009B1CA1" w:rsidP="009B1CA1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1EE465B0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1DE5C2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>Prihodi i primici</w:t>
      </w:r>
    </w:p>
    <w:p w14:paraId="05040EA2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7B21773" w14:textId="073B2C8F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U</w:t>
      </w:r>
      <w:r w:rsidR="00D269A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947A6">
        <w:rPr>
          <w:rFonts w:ascii="Times New Roman" w:hAnsi="Times New Roman"/>
          <w:sz w:val="24"/>
          <w:szCs w:val="24"/>
          <w:lang w:val="hr-HR"/>
        </w:rPr>
        <w:t xml:space="preserve">prvoj polovici godine </w:t>
      </w:r>
      <w:r w:rsidRPr="006A7A1D">
        <w:rPr>
          <w:rFonts w:ascii="Times New Roman" w:hAnsi="Times New Roman"/>
          <w:sz w:val="24"/>
          <w:szCs w:val="24"/>
          <w:lang w:val="hr-HR"/>
        </w:rPr>
        <w:t>202</w:t>
      </w:r>
      <w:r w:rsidR="008947A6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godini Sveučilište u Zagrebu – Geodetski fakultet je ostvario ukupne prihode u iznosu od </w:t>
      </w:r>
      <w:r w:rsidR="008947A6">
        <w:rPr>
          <w:rFonts w:ascii="Times New Roman" w:hAnsi="Times New Roman"/>
          <w:b/>
          <w:bCs/>
          <w:sz w:val="24"/>
          <w:szCs w:val="24"/>
          <w:lang w:val="hr-HR"/>
        </w:rPr>
        <w:t>2.163.958,36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€.</w:t>
      </w:r>
    </w:p>
    <w:p w14:paraId="563A4BE7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57EAE71" w14:textId="42EDA8C0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Ostvareno je</w:t>
      </w:r>
      <w:r w:rsidR="00CC58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C58AC" w:rsidRPr="00CC58AC">
        <w:rPr>
          <w:rFonts w:ascii="Times New Roman" w:hAnsi="Times New Roman"/>
          <w:b/>
          <w:bCs/>
          <w:sz w:val="24"/>
          <w:szCs w:val="24"/>
          <w:lang w:val="hr-HR"/>
        </w:rPr>
        <w:t>1,829,820.60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sz w:val="24"/>
          <w:szCs w:val="24"/>
        </w:rPr>
        <w:t xml:space="preserve"> prihoda </w:t>
      </w:r>
      <w:r w:rsidRPr="006A7A1D">
        <w:rPr>
          <w:rFonts w:ascii="Times New Roman" w:hAnsi="Times New Roman"/>
          <w:sz w:val="24"/>
          <w:szCs w:val="24"/>
          <w:lang w:val="hr-HR"/>
        </w:rPr>
        <w:t>iz Državnog proračuna, izvora 11 – Opći prihodi i primici za sljedeće namjene:</w:t>
      </w:r>
      <w:r w:rsidR="00EC680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prihode za plaće zaposlenika u iznosu od 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527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121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20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za prijevoz zaposlenika u iznosu od 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25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204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27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za potpore za istraživačke projekte u iznosu od 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63</w:t>
      </w:r>
      <w:r w:rsidRPr="00375F2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562</w:t>
      </w:r>
      <w:r w:rsidRPr="00375F25">
        <w:rPr>
          <w:rFonts w:ascii="Times New Roman" w:hAnsi="Times New Roman"/>
          <w:b/>
          <w:bCs/>
          <w:sz w:val="24"/>
          <w:szCs w:val="24"/>
          <w:lang w:val="hr-HR"/>
        </w:rPr>
        <w:t>,3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Pr="00375F25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za prihode za materijalne rashode u iznosu od 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143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325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35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Pr="006A7A1D">
        <w:rPr>
          <w:rFonts w:ascii="Times New Roman" w:hAnsi="Times New Roman"/>
          <w:sz w:val="24"/>
          <w:szCs w:val="24"/>
          <w:lang w:val="hr-HR"/>
        </w:rPr>
        <w:t>, prihode za financiranje naknada za zaposlene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74.422,83 €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F46EB">
        <w:rPr>
          <w:rFonts w:ascii="Times New Roman" w:hAnsi="Times New Roman"/>
          <w:sz w:val="24"/>
          <w:szCs w:val="24"/>
          <w:lang w:val="hr-HR"/>
        </w:rPr>
        <w:t xml:space="preserve">te prihodi refundacije za novčanu naknadu poslodavca nezapošljavanje osoba s invaliditetom </w:t>
      </w:r>
      <w:r w:rsidR="00CC58AC">
        <w:rPr>
          <w:rFonts w:ascii="Times New Roman" w:hAnsi="Times New Roman"/>
          <w:b/>
          <w:bCs/>
          <w:sz w:val="24"/>
          <w:szCs w:val="24"/>
          <w:lang w:val="hr-HR"/>
        </w:rPr>
        <w:t>776</w:t>
      </w:r>
      <w:r w:rsidRPr="004F46EB">
        <w:rPr>
          <w:rFonts w:ascii="Times New Roman" w:hAnsi="Times New Roman"/>
          <w:b/>
          <w:bCs/>
          <w:sz w:val="24"/>
          <w:szCs w:val="24"/>
          <w:lang w:val="hr-HR"/>
        </w:rPr>
        <w:t>,00 €</w:t>
      </w:r>
      <w:r w:rsidRPr="004F46EB">
        <w:rPr>
          <w:rFonts w:ascii="Times New Roman" w:hAnsi="Times New Roman"/>
          <w:sz w:val="24"/>
          <w:szCs w:val="24"/>
          <w:lang w:val="hr-HR"/>
        </w:rPr>
        <w:t>.</w:t>
      </w:r>
    </w:p>
    <w:p w14:paraId="37F6F081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755B55" w14:textId="4231CEA8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od prodaje proizvoda i robe te pružanja usluga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tj. prihodi od obavljanja osnovnih poslova vlastite djelatnosti - od projekata na tržištu i zakupa poslovnog prostora </w:t>
      </w:r>
      <w:r w:rsidR="007224DB">
        <w:rPr>
          <w:rFonts w:ascii="Times New Roman" w:hAnsi="Times New Roman"/>
          <w:sz w:val="24"/>
          <w:szCs w:val="24"/>
          <w:lang w:val="hr-HR"/>
        </w:rPr>
        <w:t>su uplaćeni u iznosu od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C58AC" w:rsidRPr="00CC58AC">
        <w:rPr>
          <w:rFonts w:ascii="Times New Roman" w:hAnsi="Times New Roman"/>
          <w:b/>
          <w:bCs/>
          <w:sz w:val="24"/>
          <w:szCs w:val="24"/>
          <w:lang w:val="hr-HR"/>
        </w:rPr>
        <w:t>41,597.82</w:t>
      </w:r>
      <w:r w:rsidRPr="00CC58AC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C3D96E3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D22F20" w14:textId="68D9730E" w:rsidR="009B1CA1" w:rsidRPr="006A7A1D" w:rsidRDefault="009B1CA1" w:rsidP="009B1CA1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po posebnim propisima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su ostvareni u visini od </w:t>
      </w:r>
      <w:r w:rsidR="006A6DC8" w:rsidRPr="006A6DC8">
        <w:rPr>
          <w:rFonts w:ascii="Times New Roman" w:hAnsi="Times New Roman"/>
          <w:b/>
          <w:bCs/>
          <w:sz w:val="24"/>
          <w:szCs w:val="24"/>
          <w:lang w:val="hr-HR"/>
        </w:rPr>
        <w:t>20,114.95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 </w:t>
      </w:r>
      <w:r w:rsidRPr="006A7A1D">
        <w:rPr>
          <w:rFonts w:ascii="Times New Roman" w:hAnsi="Times New Roman"/>
          <w:sz w:val="24"/>
          <w:szCs w:val="24"/>
          <w:lang w:val="hr-HR"/>
        </w:rPr>
        <w:t>iz izvora 43 – Ostali prihodi za posebne namjene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te se odnose na prihode od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školarina, zamolbi</w:t>
      </w:r>
      <w:r w:rsidR="00FD1E19">
        <w:rPr>
          <w:rFonts w:ascii="Times New Roman" w:hAnsi="Times New Roman"/>
          <w:sz w:val="24"/>
          <w:szCs w:val="24"/>
          <w:lang w:val="hr-HR"/>
        </w:rPr>
        <w:t>,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A6DC8">
        <w:rPr>
          <w:rFonts w:ascii="Times New Roman" w:hAnsi="Times New Roman"/>
          <w:sz w:val="24"/>
          <w:szCs w:val="24"/>
          <w:lang w:val="hr-HR"/>
        </w:rPr>
        <w:t xml:space="preserve">za izradu studentskih </w:t>
      </w:r>
      <w:r w:rsidR="00EC680B">
        <w:rPr>
          <w:rFonts w:ascii="Times New Roman" w:hAnsi="Times New Roman"/>
          <w:sz w:val="24"/>
          <w:szCs w:val="24"/>
          <w:lang w:val="hr-HR"/>
        </w:rPr>
        <w:t>iskaznica</w:t>
      </w:r>
      <w:r w:rsidR="006A6DC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te su ostvareni u postotku većem za </w:t>
      </w:r>
      <w:r w:rsidR="006A6DC8">
        <w:rPr>
          <w:rFonts w:ascii="Times New Roman" w:hAnsi="Times New Roman"/>
          <w:sz w:val="24"/>
          <w:szCs w:val="24"/>
          <w:lang w:val="hr-HR"/>
        </w:rPr>
        <w:t>52</w:t>
      </w:r>
      <w:r w:rsidRPr="006A7A1D">
        <w:rPr>
          <w:rFonts w:ascii="Times New Roman" w:hAnsi="Times New Roman"/>
          <w:sz w:val="24"/>
          <w:szCs w:val="24"/>
          <w:lang w:val="hr-HR"/>
        </w:rPr>
        <w:t>% u odnosu na prethodnu godinu.</w:t>
      </w:r>
    </w:p>
    <w:p w14:paraId="67669BFD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91ECC16" w14:textId="54CB5C69" w:rsidR="00D269A8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Prihodi od pomoći </w:t>
      </w:r>
      <w:r w:rsidRPr="006A7A1D">
        <w:rPr>
          <w:rFonts w:ascii="Times New Roman" w:hAnsi="Times New Roman"/>
          <w:bCs/>
          <w:sz w:val="24"/>
          <w:szCs w:val="24"/>
          <w:lang w:val="hr-HR"/>
        </w:rPr>
        <w:t>su ostvareni u visini od</w:t>
      </w:r>
      <w:r w:rsidR="00D269A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269A8" w:rsidRPr="00D269A8">
        <w:rPr>
          <w:rFonts w:ascii="Times New Roman" w:hAnsi="Times New Roman"/>
          <w:b/>
          <w:bCs/>
          <w:sz w:val="24"/>
          <w:szCs w:val="24"/>
          <w:lang w:val="hr-HR"/>
        </w:rPr>
        <w:t>271,186.31</w:t>
      </w:r>
      <w:r w:rsidR="00D269A8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€,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a odnose se na prihode </w:t>
      </w:r>
      <w:r w:rsidR="00D269A8">
        <w:rPr>
          <w:rFonts w:ascii="Times New Roman" w:hAnsi="Times New Roman"/>
          <w:sz w:val="24"/>
          <w:szCs w:val="24"/>
          <w:lang w:val="hr-HR"/>
        </w:rPr>
        <w:t>primljene od Europske svemirske agencije</w:t>
      </w:r>
      <w:r w:rsidRPr="006A7A1D">
        <w:rPr>
          <w:rFonts w:ascii="Times New Roman" w:hAnsi="Times New Roman"/>
          <w:sz w:val="24"/>
          <w:szCs w:val="24"/>
          <w:lang w:val="hr-HR"/>
        </w:rPr>
        <w:t>, prihode Hrvatske zaklade za znanost za financiranje mladih znanstvenika i doktoranada</w:t>
      </w:r>
      <w:r w:rsidR="00D269A8">
        <w:rPr>
          <w:rFonts w:ascii="Times New Roman" w:hAnsi="Times New Roman"/>
          <w:sz w:val="24"/>
          <w:szCs w:val="24"/>
          <w:lang w:val="hr-HR"/>
        </w:rPr>
        <w:t xml:space="preserve"> te za projekte</w:t>
      </w:r>
      <w:r w:rsidR="00E123E3">
        <w:rPr>
          <w:rFonts w:ascii="Times New Roman" w:hAnsi="Times New Roman"/>
          <w:sz w:val="24"/>
          <w:szCs w:val="24"/>
          <w:lang w:val="hr-HR"/>
        </w:rPr>
        <w:t xml:space="preserve"> zaklade</w:t>
      </w:r>
      <w:r w:rsidR="00D269A8">
        <w:rPr>
          <w:rFonts w:ascii="Times New Roman" w:hAnsi="Times New Roman"/>
          <w:sz w:val="24"/>
          <w:szCs w:val="24"/>
          <w:lang w:val="hr-HR"/>
        </w:rPr>
        <w:t xml:space="preserve">. Ovi prihodi su </w:t>
      </w:r>
      <w:r w:rsidR="00D82B3F">
        <w:rPr>
          <w:rFonts w:ascii="Times New Roman" w:hAnsi="Times New Roman"/>
          <w:sz w:val="24"/>
          <w:szCs w:val="24"/>
          <w:lang w:val="hr-HR"/>
        </w:rPr>
        <w:t>ostvareni u većem iznosu</w:t>
      </w:r>
      <w:r w:rsidR="00D269A8">
        <w:rPr>
          <w:rFonts w:ascii="Times New Roman" w:hAnsi="Times New Roman"/>
          <w:sz w:val="24"/>
          <w:szCs w:val="24"/>
          <w:lang w:val="hr-HR"/>
        </w:rPr>
        <w:t xml:space="preserve"> ok</w:t>
      </w:r>
      <w:r w:rsidR="00516F0D">
        <w:rPr>
          <w:rFonts w:ascii="Times New Roman" w:hAnsi="Times New Roman"/>
          <w:sz w:val="24"/>
          <w:szCs w:val="24"/>
          <w:lang w:val="hr-HR"/>
        </w:rPr>
        <w:t>v</w:t>
      </w:r>
      <w:r w:rsidR="00D269A8">
        <w:rPr>
          <w:rFonts w:ascii="Times New Roman" w:hAnsi="Times New Roman"/>
          <w:sz w:val="24"/>
          <w:szCs w:val="24"/>
          <w:lang w:val="hr-HR"/>
        </w:rPr>
        <w:t>irno za 9% u odnosu na prethodnu godinu</w:t>
      </w:r>
      <w:r w:rsidR="00111599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269A8" w:rsidRPr="00D269A8">
        <w:rPr>
          <w:rFonts w:ascii="Times New Roman" w:hAnsi="Times New Roman"/>
          <w:sz w:val="24"/>
          <w:szCs w:val="24"/>
          <w:lang w:val="hr-HR"/>
        </w:rPr>
        <w:t>poglavito prihodi</w:t>
      </w:r>
      <w:r w:rsidR="00CC114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11599" w:rsidRPr="008B638F">
        <w:rPr>
          <w:rFonts w:ascii="Times New Roman" w:hAnsi="Times New Roman"/>
          <w:i/>
          <w:iCs/>
          <w:sz w:val="24"/>
          <w:szCs w:val="24"/>
          <w:lang w:val="hr-HR"/>
        </w:rPr>
        <w:t>“Pomoći od međunarodnih organizacija te institucija i tijela EU”</w:t>
      </w:r>
      <w:r w:rsidR="00111599" w:rsidRPr="00D269A8">
        <w:rPr>
          <w:rFonts w:ascii="Times New Roman" w:hAnsi="Times New Roman"/>
          <w:sz w:val="24"/>
          <w:szCs w:val="24"/>
          <w:lang w:val="hr-HR"/>
        </w:rPr>
        <w:t>,</w:t>
      </w:r>
      <w:r w:rsidR="00E123E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269A8" w:rsidRPr="00D269A8">
        <w:rPr>
          <w:rFonts w:ascii="Times New Roman" w:hAnsi="Times New Roman"/>
          <w:sz w:val="24"/>
          <w:szCs w:val="24"/>
          <w:lang w:val="hr-HR"/>
        </w:rPr>
        <w:t>dodijeljenih od strane Europske svemirske agencije. U</w:t>
      </w:r>
      <w:r w:rsidR="00111599">
        <w:rPr>
          <w:rFonts w:ascii="Times New Roman" w:hAnsi="Times New Roman"/>
          <w:sz w:val="24"/>
          <w:szCs w:val="24"/>
          <w:lang w:val="hr-HR"/>
        </w:rPr>
        <w:t xml:space="preserve"> izvještajnom</w:t>
      </w:r>
      <w:r w:rsidR="00D269A8" w:rsidRPr="00D269A8">
        <w:rPr>
          <w:rFonts w:ascii="Times New Roman" w:hAnsi="Times New Roman"/>
          <w:sz w:val="24"/>
          <w:szCs w:val="24"/>
          <w:lang w:val="hr-HR"/>
        </w:rPr>
        <w:t xml:space="preserve"> razdoblju doznačen je i veći predujam za subvenciju participacija školarina Sveučilišta u Zagrebu za financiranje nastave</w:t>
      </w:r>
      <w:r w:rsidR="00111599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269A8" w:rsidRPr="00D269A8">
        <w:rPr>
          <w:rFonts w:ascii="Times New Roman" w:hAnsi="Times New Roman"/>
          <w:sz w:val="24"/>
          <w:szCs w:val="24"/>
          <w:lang w:val="hr-HR"/>
        </w:rPr>
        <w:t>Pad visine prihoda od prijenosa između proračunskih korisnika se odnosi na izostanak uplata po pitanju nadoknade utrošenih sredstava za rashode preseljenja na privremenu lokaciju u razdoblju do 28. veljače ove godine, a koj</w:t>
      </w:r>
      <w:r w:rsidR="00111599">
        <w:rPr>
          <w:rFonts w:ascii="Times New Roman" w:hAnsi="Times New Roman"/>
          <w:sz w:val="24"/>
          <w:szCs w:val="24"/>
          <w:lang w:val="hr-HR"/>
        </w:rPr>
        <w:t>e</w:t>
      </w:r>
      <w:r w:rsidR="00D269A8" w:rsidRPr="00D269A8">
        <w:rPr>
          <w:rFonts w:ascii="Times New Roman" w:hAnsi="Times New Roman"/>
          <w:sz w:val="24"/>
          <w:szCs w:val="24"/>
          <w:lang w:val="hr-HR"/>
        </w:rPr>
        <w:t xml:space="preserve"> se očekuju u narednom razdoblju</w:t>
      </w:r>
      <w:r w:rsidR="00111599">
        <w:rPr>
          <w:rFonts w:ascii="Times New Roman" w:hAnsi="Times New Roman"/>
          <w:sz w:val="24"/>
          <w:szCs w:val="24"/>
          <w:lang w:val="hr-HR"/>
        </w:rPr>
        <w:t>.</w:t>
      </w:r>
    </w:p>
    <w:p w14:paraId="1EEF0EDC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419C0DF" w14:textId="3B4ABE10" w:rsidR="009B1CA1" w:rsidRPr="006A7A1D" w:rsidRDefault="00D269A8" w:rsidP="009B1CA1">
      <w:pPr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Izvršenje financijskog plana je </w:t>
      </w:r>
      <w:r w:rsidR="00CC1144">
        <w:rPr>
          <w:rFonts w:ascii="Times New Roman" w:hAnsi="Times New Roman"/>
          <w:sz w:val="24"/>
          <w:szCs w:val="24"/>
          <w:lang w:val="hr-HR"/>
        </w:rPr>
        <w:t>u prvoj</w:t>
      </w:r>
      <w:r>
        <w:rPr>
          <w:rFonts w:ascii="Times New Roman" w:hAnsi="Times New Roman"/>
          <w:sz w:val="24"/>
          <w:szCs w:val="24"/>
          <w:lang w:val="hr-HR"/>
        </w:rPr>
        <w:t xml:space="preserve"> polovi</w:t>
      </w:r>
      <w:r w:rsidR="00CC1144">
        <w:rPr>
          <w:rFonts w:ascii="Times New Roman" w:hAnsi="Times New Roman"/>
          <w:sz w:val="24"/>
          <w:szCs w:val="24"/>
          <w:lang w:val="hr-HR"/>
        </w:rPr>
        <w:t>ni</w:t>
      </w:r>
      <w:r>
        <w:rPr>
          <w:rFonts w:ascii="Times New Roman" w:hAnsi="Times New Roman"/>
          <w:sz w:val="24"/>
          <w:szCs w:val="24"/>
          <w:lang w:val="hr-HR"/>
        </w:rPr>
        <w:t xml:space="preserve"> godine </w:t>
      </w:r>
      <w:r w:rsidR="00CC1144">
        <w:rPr>
          <w:rFonts w:ascii="Times New Roman" w:hAnsi="Times New Roman"/>
          <w:sz w:val="24"/>
          <w:szCs w:val="24"/>
          <w:lang w:val="hr-HR"/>
        </w:rPr>
        <w:t>u visini</w:t>
      </w:r>
      <w:r>
        <w:rPr>
          <w:rFonts w:ascii="Times New Roman" w:hAnsi="Times New Roman"/>
          <w:sz w:val="24"/>
          <w:szCs w:val="24"/>
          <w:lang w:val="hr-HR"/>
        </w:rPr>
        <w:t xml:space="preserve"> okvirno 50% razine izvršenja, gotovo je izvršen u jednakim postocima kao i prethodne godine, </w:t>
      </w:r>
      <w:r w:rsidR="00EB40CE">
        <w:rPr>
          <w:rFonts w:ascii="Times New Roman" w:hAnsi="Times New Roman"/>
          <w:sz w:val="24"/>
          <w:szCs w:val="24"/>
          <w:lang w:val="hr-HR"/>
        </w:rPr>
        <w:t>o</w:t>
      </w:r>
      <w:r w:rsidR="00EE35FC">
        <w:rPr>
          <w:rFonts w:ascii="Times New Roman" w:hAnsi="Times New Roman"/>
          <w:sz w:val="24"/>
          <w:szCs w:val="24"/>
          <w:lang w:val="hr-HR"/>
        </w:rPr>
        <w:t>sim</w:t>
      </w:r>
      <w:r>
        <w:rPr>
          <w:rFonts w:ascii="Times New Roman" w:hAnsi="Times New Roman"/>
          <w:sz w:val="24"/>
          <w:szCs w:val="24"/>
          <w:lang w:val="hr-HR"/>
        </w:rPr>
        <w:t xml:space="preserve"> što se prihodi </w:t>
      </w:r>
      <w:r w:rsidR="00E123E3">
        <w:rPr>
          <w:rFonts w:ascii="Times New Roman" w:hAnsi="Times New Roman"/>
          <w:sz w:val="24"/>
          <w:szCs w:val="24"/>
          <w:lang w:val="hr-HR"/>
        </w:rPr>
        <w:t>od</w:t>
      </w:r>
      <w:r>
        <w:rPr>
          <w:rFonts w:ascii="Times New Roman" w:hAnsi="Times New Roman"/>
          <w:sz w:val="24"/>
          <w:szCs w:val="24"/>
          <w:lang w:val="hr-HR"/>
        </w:rPr>
        <w:t xml:space="preserve"> školarina -</w:t>
      </w:r>
      <w:r w:rsidR="00E123E3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po posebnim propisima </w:t>
      </w:r>
      <w:r w:rsidR="00EE35FC">
        <w:rPr>
          <w:rFonts w:ascii="Times New Roman" w:hAnsi="Times New Roman"/>
          <w:sz w:val="24"/>
          <w:szCs w:val="24"/>
          <w:lang w:val="hr-HR"/>
        </w:rPr>
        <w:t xml:space="preserve">pretežito </w:t>
      </w:r>
      <w:r>
        <w:rPr>
          <w:rFonts w:ascii="Times New Roman" w:hAnsi="Times New Roman"/>
          <w:sz w:val="24"/>
          <w:szCs w:val="24"/>
          <w:lang w:val="hr-HR"/>
        </w:rPr>
        <w:t>očekuju u drugoj polovi</w:t>
      </w:r>
      <w:r w:rsidR="00CC1144">
        <w:rPr>
          <w:rFonts w:ascii="Times New Roman" w:hAnsi="Times New Roman"/>
          <w:sz w:val="24"/>
          <w:szCs w:val="24"/>
          <w:lang w:val="hr-HR"/>
        </w:rPr>
        <w:t>ni</w:t>
      </w:r>
      <w:r>
        <w:rPr>
          <w:rFonts w:ascii="Times New Roman" w:hAnsi="Times New Roman"/>
          <w:sz w:val="24"/>
          <w:szCs w:val="24"/>
          <w:lang w:val="hr-HR"/>
        </w:rPr>
        <w:t xml:space="preserve"> godine. </w:t>
      </w:r>
    </w:p>
    <w:p w14:paraId="7B0918A1" w14:textId="77777777" w:rsidR="009B1CA1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4FE7DE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>Rashodi i izdaci</w:t>
      </w:r>
    </w:p>
    <w:p w14:paraId="3A7F2A88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8F790D" w14:textId="2D263D91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Ukupni rashodi i izdaci su izvršeni u visini od </w:t>
      </w:r>
      <w:r w:rsidR="00651EA4" w:rsidRPr="00651EA4">
        <w:rPr>
          <w:rFonts w:ascii="Times New Roman" w:hAnsi="Times New Roman"/>
          <w:b/>
          <w:bCs/>
          <w:sz w:val="24"/>
          <w:szCs w:val="24"/>
          <w:lang w:val="hr-HR"/>
        </w:rPr>
        <w:t>2,846,288.00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Pr="006A7A1D">
        <w:rPr>
          <w:rFonts w:ascii="Times New Roman" w:hAnsi="Times New Roman"/>
          <w:sz w:val="24"/>
          <w:szCs w:val="24"/>
          <w:lang w:val="hr-HR"/>
        </w:rPr>
        <w:t>, od čega je</w:t>
      </w:r>
      <w:r w:rsidR="00651EA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51EA4" w:rsidRPr="00651EA4">
        <w:rPr>
          <w:rFonts w:ascii="Times New Roman" w:hAnsi="Times New Roman"/>
          <w:b/>
          <w:bCs/>
          <w:sz w:val="24"/>
          <w:szCs w:val="24"/>
          <w:lang w:val="hr-HR"/>
        </w:rPr>
        <w:t xml:space="preserve">1,870,188.99 </w:t>
      </w:r>
      <w:r w:rsidRPr="00651EA4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utrošeno na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rashode za zaposlene,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651EA4" w:rsidRPr="00651EA4">
        <w:rPr>
          <w:rFonts w:ascii="Times New Roman" w:hAnsi="Times New Roman"/>
          <w:b/>
          <w:bCs/>
          <w:sz w:val="24"/>
          <w:szCs w:val="24"/>
          <w:lang w:val="hr-HR"/>
        </w:rPr>
        <w:t>352,422.73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za materijalne rashode, te</w:t>
      </w:r>
      <w:r w:rsidR="00651EA4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651EA4" w:rsidRPr="00651EA4">
        <w:rPr>
          <w:rFonts w:ascii="Times New Roman" w:hAnsi="Times New Roman"/>
          <w:b/>
          <w:bCs/>
          <w:sz w:val="24"/>
          <w:szCs w:val="24"/>
          <w:lang w:val="hr-HR"/>
        </w:rPr>
        <w:t>108,704.63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Pr="006A7A1D">
        <w:rPr>
          <w:rFonts w:ascii="Times New Roman" w:hAnsi="Times New Roman"/>
          <w:sz w:val="24"/>
          <w:szCs w:val="24"/>
          <w:lang w:val="hr-HR"/>
        </w:rPr>
        <w:t>za rashode za nabavu nefinacijske imovine.</w:t>
      </w:r>
    </w:p>
    <w:p w14:paraId="0A23B2CE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8C9A7A" w14:textId="5D15CA73" w:rsidR="00651EA4" w:rsidRDefault="00651EA4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</w:t>
      </w:r>
      <w:r w:rsidRPr="00651EA4">
        <w:rPr>
          <w:rFonts w:ascii="Times New Roman" w:hAnsi="Times New Roman"/>
          <w:sz w:val="24"/>
          <w:szCs w:val="24"/>
          <w:lang w:val="hr-HR"/>
        </w:rPr>
        <w:t>eći rashodi se poglavito odnose na visoke iznose prijenosa partnerskim institucijama u sklopu Erasmus+ projekta</w:t>
      </w:r>
      <w:r w:rsidR="008B63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51EA4">
        <w:rPr>
          <w:rFonts w:ascii="Times New Roman" w:hAnsi="Times New Roman"/>
          <w:sz w:val="24"/>
          <w:szCs w:val="24"/>
          <w:lang w:val="hr-HR"/>
        </w:rPr>
        <w:t>„</w:t>
      </w:r>
      <w:r w:rsidRPr="008E34F0">
        <w:rPr>
          <w:rFonts w:ascii="Times New Roman" w:hAnsi="Times New Roman"/>
          <w:i/>
          <w:iCs/>
          <w:sz w:val="24"/>
          <w:szCs w:val="24"/>
          <w:lang w:val="hr-HR"/>
        </w:rPr>
        <w:t>Modernization of Land and Urban Management Education in Southern Mediterranean – MLUMSE</w:t>
      </w:r>
      <w:r w:rsidRPr="00651EA4">
        <w:rPr>
          <w:rFonts w:ascii="Times New Roman" w:hAnsi="Times New Roman"/>
          <w:sz w:val="24"/>
          <w:szCs w:val="24"/>
          <w:lang w:val="hr-HR"/>
        </w:rPr>
        <w:t xml:space="preserve">” unutar i izvan EU, a za koji su sredstva zaprimljena u prethodnoj proračunskoj godini. Izvršeni su i prijenosi partnerima, tuzemnim institucijama u sklopu dobivenih projekata Europske svemirske agencije. U nešto većem iznosu izvršeni su i svi rashodi za zaposlene </w:t>
      </w:r>
      <w:r w:rsidR="001B070C">
        <w:rPr>
          <w:rFonts w:ascii="Times New Roman" w:hAnsi="Times New Roman"/>
          <w:sz w:val="24"/>
          <w:szCs w:val="24"/>
          <w:lang w:val="hr-HR"/>
        </w:rPr>
        <w:t>po</w:t>
      </w:r>
      <w:r w:rsidRPr="00651EA4">
        <w:rPr>
          <w:rFonts w:ascii="Times New Roman" w:hAnsi="Times New Roman"/>
          <w:sz w:val="24"/>
          <w:szCs w:val="24"/>
          <w:lang w:val="hr-HR"/>
        </w:rPr>
        <w:t xml:space="preserve"> uvećanj</w:t>
      </w:r>
      <w:r w:rsidR="001B070C">
        <w:rPr>
          <w:rFonts w:ascii="Times New Roman" w:hAnsi="Times New Roman"/>
          <w:sz w:val="24"/>
          <w:szCs w:val="24"/>
          <w:lang w:val="hr-HR"/>
        </w:rPr>
        <w:t>u</w:t>
      </w:r>
      <w:r w:rsidRPr="00651EA4">
        <w:rPr>
          <w:rFonts w:ascii="Times New Roman" w:hAnsi="Times New Roman"/>
          <w:sz w:val="24"/>
          <w:szCs w:val="24"/>
          <w:lang w:val="hr-HR"/>
        </w:rPr>
        <w:t xml:space="preserve"> plaća te ostvarivanja većeg broja materijalnih prava s višom osnovicom za jubilarne nagrade. U odnosu na prethodnu godinu, izvršeni su i </w:t>
      </w:r>
      <w:r>
        <w:rPr>
          <w:rFonts w:ascii="Times New Roman" w:hAnsi="Times New Roman"/>
          <w:sz w:val="24"/>
          <w:szCs w:val="24"/>
          <w:lang w:val="hr-HR"/>
        </w:rPr>
        <w:t xml:space="preserve">značajno </w:t>
      </w:r>
      <w:r w:rsidRPr="00651EA4">
        <w:rPr>
          <w:rFonts w:ascii="Times New Roman" w:hAnsi="Times New Roman"/>
          <w:sz w:val="24"/>
          <w:szCs w:val="24"/>
          <w:lang w:val="hr-HR"/>
        </w:rPr>
        <w:t>viši rashodi za nabavu nefinancijske imovine</w:t>
      </w:r>
      <w:r>
        <w:rPr>
          <w:rFonts w:ascii="Times New Roman" w:hAnsi="Times New Roman"/>
          <w:sz w:val="24"/>
          <w:szCs w:val="24"/>
          <w:lang w:val="hr-HR"/>
        </w:rPr>
        <w:t>. Po preseljenju, nabavljene su nužne višegodišnje licence za vatrozid, mrežni razdjelnici, te sustav kontrole ulaska u zgradu. Nabavljena je i potrebna oprema u sklopu znanstvenog i stručnog rada ili u sklopu projekata.</w:t>
      </w:r>
    </w:p>
    <w:p w14:paraId="339373FE" w14:textId="77777777" w:rsidR="00651EA4" w:rsidRDefault="00651EA4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24D4BB" w14:textId="77777777" w:rsidR="00651EA4" w:rsidRPr="006A7A1D" w:rsidRDefault="00651EA4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0ECB78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  <w:t xml:space="preserve">Prijenos </w:t>
      </w: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sredstava iz prethodne godine i prijenosa sredstava u sljedeću godinu</w:t>
      </w:r>
    </w:p>
    <w:p w14:paraId="2AA08992" w14:textId="77777777" w:rsidR="009B1CA1" w:rsidRPr="006A7A1D" w:rsidRDefault="009B1CA1" w:rsidP="009B1CA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F7DAFAA" w14:textId="77777777" w:rsidR="00927B33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Iz 2024. godine u sljedeću godinu Sveučilište u Zagrebu – Geodetski fakultet prenosi</w:t>
      </w:r>
      <w:r w:rsidR="00651EA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51EA4" w:rsidRPr="00651EA4">
        <w:rPr>
          <w:rFonts w:ascii="Times New Roman" w:hAnsi="Times New Roman"/>
          <w:b/>
          <w:bCs/>
          <w:sz w:val="24"/>
          <w:szCs w:val="24"/>
          <w:lang w:val="hr-HR"/>
        </w:rPr>
        <w:t>1,986,438.81</w:t>
      </w:r>
      <w:r w:rsidRPr="00651EA4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sz w:val="24"/>
          <w:szCs w:val="24"/>
          <w:lang w:val="hr-HR"/>
        </w:rPr>
        <w:t>. Viši iznos u odnosu na prethodnu godinu se uglavnom odnosi na primljena sredstva za Erasmus+ projekt</w:t>
      </w:r>
      <w:r w:rsidR="006D751D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="006D751D" w:rsidRPr="006D751D">
        <w:rPr>
          <w:rFonts w:ascii="Times New Roman" w:hAnsi="Times New Roman"/>
          <w:i/>
          <w:iCs/>
          <w:sz w:val="24"/>
          <w:szCs w:val="24"/>
          <w:lang w:val="hr-HR"/>
        </w:rPr>
        <w:t>„MLUMSE“</w:t>
      </w:r>
      <w:r w:rsidRPr="006D75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za kojeg </w:t>
      </w:r>
      <w:r w:rsidR="00D50E64">
        <w:rPr>
          <w:rFonts w:ascii="Times New Roman" w:hAnsi="Times New Roman"/>
          <w:sz w:val="24"/>
          <w:szCs w:val="24"/>
          <w:lang w:val="hr-HR"/>
        </w:rPr>
        <w:t>je Geodetski fakultet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zaprimi</w:t>
      </w:r>
      <w:r w:rsidR="00D50E64">
        <w:rPr>
          <w:rFonts w:ascii="Times New Roman" w:hAnsi="Times New Roman"/>
          <w:sz w:val="24"/>
          <w:szCs w:val="24"/>
          <w:lang w:val="hr-HR"/>
        </w:rPr>
        <w:t>o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sredstva</w:t>
      </w:r>
      <w:r w:rsidR="008E34F0">
        <w:rPr>
          <w:rFonts w:ascii="Times New Roman" w:hAnsi="Times New Roman"/>
          <w:sz w:val="24"/>
          <w:szCs w:val="24"/>
          <w:lang w:val="hr-HR"/>
        </w:rPr>
        <w:t xml:space="preserve"> krajem prethodne godine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  <w:r w:rsidR="008E34F0">
        <w:rPr>
          <w:rFonts w:ascii="Times New Roman" w:hAnsi="Times New Roman"/>
          <w:sz w:val="24"/>
          <w:szCs w:val="24"/>
          <w:lang w:val="hr-HR"/>
        </w:rPr>
        <w:t xml:space="preserve"> Na izmjenu u iznosu koj</w:t>
      </w:r>
      <w:r w:rsidR="00D50E64">
        <w:rPr>
          <w:rFonts w:ascii="Times New Roman" w:hAnsi="Times New Roman"/>
          <w:sz w:val="24"/>
          <w:szCs w:val="24"/>
          <w:lang w:val="hr-HR"/>
        </w:rPr>
        <w:t>i se</w:t>
      </w:r>
      <w:r w:rsidR="008E34F0">
        <w:rPr>
          <w:rFonts w:ascii="Times New Roman" w:hAnsi="Times New Roman"/>
          <w:sz w:val="24"/>
          <w:szCs w:val="24"/>
          <w:lang w:val="hr-HR"/>
        </w:rPr>
        <w:t xml:space="preserve"> prenosi </w:t>
      </w:r>
      <w:r w:rsidR="00DA6C2D">
        <w:rPr>
          <w:rFonts w:ascii="Times New Roman" w:hAnsi="Times New Roman"/>
          <w:sz w:val="24"/>
          <w:szCs w:val="24"/>
          <w:lang w:val="hr-HR"/>
        </w:rPr>
        <w:t>u</w:t>
      </w:r>
      <w:r w:rsidR="008E34F0">
        <w:rPr>
          <w:rFonts w:ascii="Times New Roman" w:hAnsi="Times New Roman"/>
          <w:sz w:val="24"/>
          <w:szCs w:val="24"/>
          <w:lang w:val="hr-HR"/>
        </w:rPr>
        <w:t>tjecali su pojedini povrati školarina studentima koji su na navedeno ostvarili pravo, te ispravci nekih o</w:t>
      </w:r>
      <w:r w:rsidR="00353857">
        <w:rPr>
          <w:rFonts w:ascii="Times New Roman" w:hAnsi="Times New Roman"/>
          <w:sz w:val="24"/>
          <w:szCs w:val="24"/>
          <w:lang w:val="hr-HR"/>
        </w:rPr>
        <w:t>d</w:t>
      </w:r>
      <w:r w:rsidR="008E34F0">
        <w:rPr>
          <w:rFonts w:ascii="Times New Roman" w:hAnsi="Times New Roman"/>
          <w:sz w:val="24"/>
          <w:szCs w:val="24"/>
          <w:lang w:val="hr-HR"/>
        </w:rPr>
        <w:t xml:space="preserve"> poslovnih događaja iz prethodnih razdoblja</w:t>
      </w:r>
      <w:r w:rsidR="00DA6C2D">
        <w:rPr>
          <w:rFonts w:ascii="Times New Roman" w:hAnsi="Times New Roman"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Ukup</w:t>
      </w:r>
      <w:r w:rsidR="00C37F68">
        <w:rPr>
          <w:rFonts w:ascii="Times New Roman" w:hAnsi="Times New Roman"/>
          <w:sz w:val="24"/>
          <w:szCs w:val="24"/>
          <w:lang w:val="hr-HR"/>
        </w:rPr>
        <w:t>an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iznos se odnosi na višak prihoda ostvaren iz svih izvora, prenesenog viška sredstava iz prethodnih </w:t>
      </w:r>
      <w:r w:rsidR="00927B33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6BCA6ABF" w14:textId="39CA246A" w:rsidR="009B1CA1" w:rsidRDefault="009B1CA1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ili 2024. godine ostvarenog od tržišne djelatnosti, školarina, za izvršavanje aktivnosti aktivnih projekata iz EU sredstava i onih za koje su primljene pomoći, a sadrži i preostala sredstva od završenih aktivnosti koja će se utrošiti u narednim razdobljima.</w:t>
      </w:r>
    </w:p>
    <w:p w14:paraId="47D27D72" w14:textId="77777777" w:rsidR="00043B9E" w:rsidRDefault="00043B9E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4A522E" w14:textId="77777777" w:rsidR="00043B9E" w:rsidRDefault="00043B9E" w:rsidP="009B1CA1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520"/>
        <w:gridCol w:w="3230"/>
      </w:tblGrid>
      <w:tr w:rsidR="00043B9E" w14:paraId="66D03EF6" w14:textId="77777777" w:rsidTr="00043B9E">
        <w:tc>
          <w:tcPr>
            <w:tcW w:w="3600" w:type="dxa"/>
            <w:tcBorders>
              <w:bottom w:val="single" w:sz="4" w:space="0" w:color="auto"/>
            </w:tcBorders>
          </w:tcPr>
          <w:p w14:paraId="6F26AE19" w14:textId="77777777" w:rsidR="00043B9E" w:rsidRPr="009F11DC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bookmarkStart w:id="0" w:name="_Hlk203995693"/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Rukovoditelj računovodstva:</w:t>
            </w:r>
          </w:p>
          <w:p w14:paraId="39F1E673" w14:textId="77777777" w:rsidR="00043B9E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Lara Manojlović, univ.spec. oec.</w:t>
            </w:r>
          </w:p>
          <w:p w14:paraId="6B38990C" w14:textId="77777777" w:rsidR="00043B9E" w:rsidRPr="009F11DC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8ADD2BD" w14:textId="77777777" w:rsidR="00043B9E" w:rsidRDefault="00043B9E" w:rsidP="009B1C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20" w:type="dxa"/>
          </w:tcPr>
          <w:p w14:paraId="4F7A6E8E" w14:textId="77777777" w:rsidR="00043B9E" w:rsidRDefault="00043B9E" w:rsidP="009B1C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230" w:type="dxa"/>
          </w:tcPr>
          <w:p w14:paraId="26F02BE2" w14:textId="77777777" w:rsidR="00043B9E" w:rsidRDefault="00043B9E" w:rsidP="009B1C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43B9E" w14:paraId="08F90A60" w14:textId="77777777" w:rsidTr="00043B9E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7F36FC4" w14:textId="77777777" w:rsidR="00043B9E" w:rsidRPr="009F11DC" w:rsidRDefault="00043B9E" w:rsidP="00043B9E">
            <w:pPr>
              <w:spacing w:before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Prodekan za financije i poslovanje:</w:t>
            </w:r>
          </w:p>
          <w:p w14:paraId="5113AB70" w14:textId="77777777" w:rsidR="00043B9E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Doc. dr. sc. Sergej Baričevi</w:t>
            </w:r>
            <w:r w:rsidRPr="003A35B4">
              <w:rPr>
                <w:rFonts w:ascii="Times New Roman" w:hAnsi="Times New Roman"/>
                <w:sz w:val="24"/>
                <w:szCs w:val="24"/>
                <w:lang w:val="hr-HR"/>
              </w:rPr>
              <w:t>ć</w:t>
            </w:r>
          </w:p>
          <w:p w14:paraId="3D69CE83" w14:textId="77777777" w:rsidR="00043B9E" w:rsidRPr="009F11DC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0C569B" w14:textId="77777777" w:rsidR="00043B9E" w:rsidRDefault="00043B9E" w:rsidP="009B1C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20" w:type="dxa"/>
          </w:tcPr>
          <w:p w14:paraId="1A636016" w14:textId="77777777" w:rsidR="00043B9E" w:rsidRDefault="00043B9E" w:rsidP="009B1C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1D60F070" w14:textId="77777777" w:rsidR="00043B9E" w:rsidRPr="009F11DC" w:rsidRDefault="00043B9E" w:rsidP="00043B9E">
            <w:pPr>
              <w:spacing w:before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Dekan:</w:t>
            </w:r>
          </w:p>
          <w:p w14:paraId="7169F56B" w14:textId="153E3D3C" w:rsidR="00043B9E" w:rsidRDefault="00043B9E" w:rsidP="00043B9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F11DC">
              <w:rPr>
                <w:rFonts w:ascii="Times New Roman" w:hAnsi="Times New Roman"/>
                <w:sz w:val="24"/>
                <w:szCs w:val="24"/>
                <w:lang w:val="hr-HR"/>
              </w:rPr>
              <w:t>Prof. dr. sc. Mladen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Zrinjski        </w:t>
            </w:r>
          </w:p>
        </w:tc>
      </w:tr>
      <w:bookmarkEnd w:id="0"/>
    </w:tbl>
    <w:p w14:paraId="35FFCCCB" w14:textId="77777777" w:rsidR="00043B9E" w:rsidRPr="00043B9E" w:rsidRDefault="00043B9E" w:rsidP="00043B9E">
      <w:pPr>
        <w:jc w:val="both"/>
        <w:rPr>
          <w:rFonts w:ascii="Times New Roman" w:hAnsi="Times New Roman"/>
          <w:sz w:val="2"/>
          <w:szCs w:val="2"/>
          <w:lang w:val="hr-HR"/>
        </w:rPr>
      </w:pPr>
    </w:p>
    <w:sectPr w:rsidR="00043B9E" w:rsidRPr="0004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008"/>
    <w:multiLevelType w:val="hybridMultilevel"/>
    <w:tmpl w:val="4FE224BA"/>
    <w:lvl w:ilvl="0" w:tplc="C5A837D4">
      <w:numFmt w:val="bullet"/>
      <w:lvlText w:val="-"/>
      <w:lvlJc w:val="left"/>
      <w:pPr>
        <w:ind w:left="720" w:hanging="360"/>
      </w:pPr>
      <w:rPr>
        <w:rFonts w:ascii="UnizgDisplay Normal" w:eastAsia="Calibri" w:hAnsi="UnizgDisplay Norma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A1"/>
    <w:rsid w:val="00043B9E"/>
    <w:rsid w:val="000F2695"/>
    <w:rsid w:val="00111599"/>
    <w:rsid w:val="001B070C"/>
    <w:rsid w:val="002F3A79"/>
    <w:rsid w:val="00353857"/>
    <w:rsid w:val="003A35B4"/>
    <w:rsid w:val="003F2A99"/>
    <w:rsid w:val="00490A18"/>
    <w:rsid w:val="00506549"/>
    <w:rsid w:val="00516F0D"/>
    <w:rsid w:val="00582CD4"/>
    <w:rsid w:val="00651EA4"/>
    <w:rsid w:val="006A6DC8"/>
    <w:rsid w:val="006C2D10"/>
    <w:rsid w:val="006D751D"/>
    <w:rsid w:val="007224DB"/>
    <w:rsid w:val="00780FE2"/>
    <w:rsid w:val="007A34F2"/>
    <w:rsid w:val="007F5998"/>
    <w:rsid w:val="008078D1"/>
    <w:rsid w:val="008947A6"/>
    <w:rsid w:val="008B638F"/>
    <w:rsid w:val="008E34F0"/>
    <w:rsid w:val="00927B33"/>
    <w:rsid w:val="009339BF"/>
    <w:rsid w:val="009B1CA1"/>
    <w:rsid w:val="00B915E1"/>
    <w:rsid w:val="00C37F68"/>
    <w:rsid w:val="00CC1144"/>
    <w:rsid w:val="00CC58AC"/>
    <w:rsid w:val="00D269A8"/>
    <w:rsid w:val="00D50E64"/>
    <w:rsid w:val="00D82B3F"/>
    <w:rsid w:val="00DA6C2D"/>
    <w:rsid w:val="00DD2C61"/>
    <w:rsid w:val="00E123E3"/>
    <w:rsid w:val="00EB40CE"/>
    <w:rsid w:val="00EC680B"/>
    <w:rsid w:val="00EE35FC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D065"/>
  <w15:chartTrackingRefBased/>
  <w15:docId w15:val="{06CDDB02-51DB-470A-9A03-ECE8B472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A1"/>
    <w:pPr>
      <w:spacing w:after="0" w:line="240" w:lineRule="auto"/>
    </w:pPr>
    <w:rPr>
      <w:rFonts w:ascii="UnizgDisplay Normal" w:eastAsia="Calibri" w:hAnsi="UnizgDisplay Normal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C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C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C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C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Manojlović</dc:creator>
  <cp:keywords/>
  <dc:description/>
  <cp:lastModifiedBy>Lara Manojlović</cp:lastModifiedBy>
  <cp:revision>33</cp:revision>
  <cp:lastPrinted>2025-07-21T11:03:00Z</cp:lastPrinted>
  <dcterms:created xsi:type="dcterms:W3CDTF">2025-07-14T03:55:00Z</dcterms:created>
  <dcterms:modified xsi:type="dcterms:W3CDTF">2025-07-30T10:22:00Z</dcterms:modified>
</cp:coreProperties>
</file>