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7743A" w14:paraId="0D64B6A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94574EF" w14:textId="77777777" w:rsidR="00B7743A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08A3C261" w14:textId="77777777" w:rsidR="00B7743A" w:rsidRDefault="00000000">
            <w:pPr>
              <w:spacing w:after="0" w:line="240" w:lineRule="auto"/>
            </w:pPr>
            <w:r>
              <w:t>1853</w:t>
            </w:r>
          </w:p>
        </w:tc>
      </w:tr>
      <w:tr w:rsidR="00B7743A" w14:paraId="716C74F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BBF7C47" w14:textId="77777777" w:rsidR="00B7743A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2C0FB3AB" w14:textId="77777777" w:rsidR="00B7743A" w:rsidRDefault="00000000">
            <w:pPr>
              <w:spacing w:after="0" w:line="240" w:lineRule="auto"/>
            </w:pPr>
            <w:r>
              <w:t>SVEUČILIŠTE U ZAGREBU - GEODETSKI FAKULTET</w:t>
            </w:r>
          </w:p>
        </w:tc>
      </w:tr>
      <w:tr w:rsidR="00B7743A" w14:paraId="15218FB5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8D043BB" w14:textId="77777777" w:rsidR="00B7743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8C33DAB" w14:textId="33B82176" w:rsidR="003C219F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4392CA47" w14:textId="77777777" w:rsidR="00B7743A" w:rsidRDefault="00000000">
      <w:r>
        <w:br/>
      </w:r>
    </w:p>
    <w:p w14:paraId="7166D01F" w14:textId="77777777" w:rsidR="00B7743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04B164C" w14:textId="77777777" w:rsidR="00B7743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BA31DC7" w14:textId="77777777" w:rsidR="00B7743A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BBA2FAA" w14:textId="77777777" w:rsidR="00B7743A" w:rsidRDefault="00B7743A"/>
    <w:p w14:paraId="20C35477" w14:textId="77777777" w:rsidR="00B7743A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008C2C8E" w14:textId="77777777" w:rsidR="00B7743A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43A" w14:paraId="4CF672D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5F677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CF385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714D0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6497A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DA5F6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4A3A3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7743A" w14:paraId="0B7824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F8429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9DD044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BA376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AA8ED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5.381.440,92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BF7BBD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6.210.095,32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AF439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  <w:tr w:rsidR="00B7743A" w14:paraId="3052B62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FC42A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B551E8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3F22B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E40FF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4.832.901,21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06D9F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5.380.570,43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A57B0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111,3</w:t>
            </w:r>
          </w:p>
        </w:tc>
      </w:tr>
      <w:tr w:rsidR="00B7743A" w14:paraId="136978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1FCDB" w14:textId="77777777" w:rsidR="00B7743A" w:rsidRDefault="00B774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EE5AD6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FB88E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F8003E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548.539,71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2E30A6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829.524,89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D4053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151,2</w:t>
            </w:r>
          </w:p>
        </w:tc>
      </w:tr>
      <w:tr w:rsidR="00B7743A" w14:paraId="0B2831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D648F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17B257" w14:textId="77777777" w:rsidR="00B7743A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19F20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E28191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916394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5FEAE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7743A" w14:paraId="04C8FB9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D4D77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619CD5" w14:textId="77777777" w:rsidR="00B7743A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A5F9B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2C169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72.140,50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2959D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230.356,43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271EB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319,3</w:t>
            </w:r>
          </w:p>
        </w:tc>
      </w:tr>
      <w:tr w:rsidR="00B7743A" w14:paraId="19783F5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8CB0A" w14:textId="77777777" w:rsidR="00B7743A" w:rsidRDefault="00B774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4209CA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E44FB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29064E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72.140,50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E3D639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230.356,43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9E1429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319,3</w:t>
            </w:r>
          </w:p>
        </w:tc>
      </w:tr>
      <w:tr w:rsidR="00B7743A" w14:paraId="55A725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39DCA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692168" w14:textId="77777777" w:rsidR="00B7743A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35027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969293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20A44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085BB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7743A" w14:paraId="5DA7910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61A7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33E949" w14:textId="77777777" w:rsidR="00B7743A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9500B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D06427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F18D1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7CBEF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7743A" w14:paraId="2908DE1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28C8A" w14:textId="77777777" w:rsidR="00B7743A" w:rsidRDefault="00B774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862DF3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D9660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9EB0AD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ECA17B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BD436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7743A" w14:paraId="77D0AAF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C8386" w14:textId="77777777" w:rsidR="00B7743A" w:rsidRDefault="00B774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8E98DA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AAF9F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804B18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476.399,21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D9383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599.168,46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0E07B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125,8</w:t>
            </w:r>
          </w:p>
        </w:tc>
      </w:tr>
    </w:tbl>
    <w:p w14:paraId="1B3CCA16" w14:textId="77777777" w:rsidR="00B7743A" w:rsidRDefault="00B7743A">
      <w:pPr>
        <w:spacing w:after="0"/>
      </w:pPr>
    </w:p>
    <w:p w14:paraId="0621728E" w14:textId="77777777" w:rsidR="00B7743A" w:rsidRDefault="00000000">
      <w:pPr>
        <w:jc w:val="both"/>
      </w:pPr>
      <w:r>
        <w:t xml:space="preserve">U </w:t>
      </w:r>
      <w:proofErr w:type="spellStart"/>
      <w:r>
        <w:t>razdoblju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6.210.095,32 EUR </w:t>
      </w:r>
      <w:proofErr w:type="spellStart"/>
      <w:r>
        <w:t>i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za 15%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2024. </w:t>
      </w:r>
      <w:proofErr w:type="spellStart"/>
      <w:r>
        <w:t>godinu</w:t>
      </w:r>
      <w:proofErr w:type="spellEnd"/>
      <w:r>
        <w:t xml:space="preserve">.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stavci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inozemstva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općeg</w:t>
      </w:r>
      <w:proofErr w:type="spellEnd"/>
      <w:r>
        <w:t xml:space="preserve"> </w:t>
      </w:r>
      <w:proofErr w:type="spellStart"/>
      <w:r>
        <w:lastRenderedPageBreak/>
        <w:t>proračuna</w:t>
      </w:r>
      <w:proofErr w:type="spellEnd"/>
      <w:r>
        <w:t xml:space="preserve">, </w:t>
      </w:r>
      <w:proofErr w:type="spellStart"/>
      <w:r>
        <w:t>najviše</w:t>
      </w:r>
      <w:proofErr w:type="spellEnd"/>
      <w:r>
        <w:t xml:space="preserve"> u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tekućih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EU, </w:t>
      </w:r>
      <w:proofErr w:type="spellStart"/>
      <w:r>
        <w:t>gotovo</w:t>
      </w:r>
      <w:proofErr w:type="spellEnd"/>
      <w:r>
        <w:t xml:space="preserve"> u </w:t>
      </w:r>
      <w:proofErr w:type="spellStart"/>
      <w:r>
        <w:t>dvostrukom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.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ugovoreni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novi </w:t>
      </w:r>
      <w:proofErr w:type="spellStart"/>
      <w:r>
        <w:t>veći</w:t>
      </w:r>
      <w:proofErr w:type="spellEnd"/>
      <w:r>
        <w:t xml:space="preserve"> Erasmus+ </w:t>
      </w:r>
      <w:proofErr w:type="spellStart"/>
      <w:r>
        <w:t>projekti</w:t>
      </w:r>
      <w:proofErr w:type="spellEnd"/>
      <w:r>
        <w:t xml:space="preserve"> koji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provoditi</w:t>
      </w:r>
      <w:proofErr w:type="spellEnd"/>
      <w:r>
        <w:t xml:space="preserve"> u </w:t>
      </w:r>
      <w:proofErr w:type="spellStart"/>
      <w:r>
        <w:t>narednom</w:t>
      </w:r>
      <w:proofErr w:type="spellEnd"/>
      <w:r>
        <w:t xml:space="preserve"> </w:t>
      </w:r>
      <w:proofErr w:type="spellStart"/>
      <w:r>
        <w:t>razoblju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zaprimljene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za tri </w:t>
      </w:r>
      <w:proofErr w:type="spellStart"/>
      <w:r>
        <w:t>takva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, za </w:t>
      </w:r>
      <w:proofErr w:type="spellStart"/>
      <w:r>
        <w:t>razliku</w:t>
      </w:r>
      <w:proofErr w:type="spellEnd"/>
      <w:r>
        <w:t xml:space="preserve"> od </w:t>
      </w:r>
      <w:proofErr w:type="spellStart"/>
      <w:r>
        <w:t>jednog</w:t>
      </w:r>
      <w:proofErr w:type="spellEnd"/>
      <w:r>
        <w:t xml:space="preserve"> u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.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je </w:t>
      </w:r>
      <w:proofErr w:type="spellStart"/>
      <w:r>
        <w:t>ostvareno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najznačajnije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fakultet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zaprima</w:t>
      </w:r>
      <w:proofErr w:type="spellEnd"/>
      <w:r>
        <w:t xml:space="preserve"> </w:t>
      </w:r>
      <w:proofErr w:type="spellStart"/>
      <w:r>
        <w:t>neposredno</w:t>
      </w:r>
      <w:proofErr w:type="spellEnd"/>
      <w:r>
        <w:t xml:space="preserve">, a </w:t>
      </w:r>
      <w:proofErr w:type="spellStart"/>
      <w:r>
        <w:t>ne</w:t>
      </w:r>
      <w:proofErr w:type="spellEnd"/>
      <w:r>
        <w:t xml:space="preserve"> od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proračunskog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, a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zaprimljeni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po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nadoknade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privremenog</w:t>
      </w:r>
      <w:proofErr w:type="spellEnd"/>
      <w:r>
        <w:t xml:space="preserve"> </w:t>
      </w:r>
      <w:proofErr w:type="spellStart"/>
      <w:r>
        <w:t>preseljenja</w:t>
      </w:r>
      <w:proofErr w:type="spellEnd"/>
      <w:r>
        <w:t xml:space="preserve"> za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obnove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fakulteta. </w:t>
      </w:r>
      <w:proofErr w:type="spellStart"/>
      <w:r>
        <w:t>Ukupno</w:t>
      </w:r>
      <w:proofErr w:type="spellEnd"/>
      <w:r>
        <w:t xml:space="preserve"> je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2.198.063,89 EUR. </w:t>
      </w:r>
      <w:proofErr w:type="spellStart"/>
      <w:r>
        <w:t>Ostvarena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30% za </w:t>
      </w:r>
      <w:proofErr w:type="spellStart"/>
      <w:r>
        <w:t>prihode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- </w:t>
      </w:r>
      <w:proofErr w:type="spellStart"/>
      <w:r>
        <w:t>prihode</w:t>
      </w:r>
      <w:proofErr w:type="spellEnd"/>
      <w:r>
        <w:t xml:space="preserve"> od </w:t>
      </w:r>
      <w:proofErr w:type="spellStart"/>
      <w:r>
        <w:t>školarina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koji </w:t>
      </w:r>
      <w:proofErr w:type="spellStart"/>
      <w:r>
        <w:t>iznose</w:t>
      </w:r>
      <w:proofErr w:type="spellEnd"/>
      <w:r>
        <w:t xml:space="preserve"> 164.816,23 EUR </w:t>
      </w:r>
      <w:proofErr w:type="spellStart"/>
      <w:r>
        <w:t>te</w:t>
      </w:r>
      <w:proofErr w:type="spellEnd"/>
      <w:r>
        <w:t xml:space="preserve"> od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koji </w:t>
      </w:r>
      <w:proofErr w:type="spellStart"/>
      <w:r>
        <w:t>iznose</w:t>
      </w:r>
      <w:proofErr w:type="spellEnd"/>
      <w:r>
        <w:t xml:space="preserve"> 158.166,95 EUR. </w:t>
      </w:r>
      <w:proofErr w:type="spellStart"/>
      <w:r>
        <w:t>Prihodi</w:t>
      </w:r>
      <w:proofErr w:type="spellEnd"/>
      <w:r>
        <w:t xml:space="preserve"> iz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uvećani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za </w:t>
      </w:r>
      <w:proofErr w:type="spellStart"/>
      <w:r>
        <w:t>nužna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plaće</w:t>
      </w:r>
      <w:proofErr w:type="spellEnd"/>
      <w:r>
        <w:t xml:space="preserve">,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, </w:t>
      </w:r>
      <w:proofErr w:type="spellStart"/>
      <w:r>
        <w:t>naknadu</w:t>
      </w:r>
      <w:proofErr w:type="spellEnd"/>
      <w:r>
        <w:t xml:space="preserve"> za </w:t>
      </w:r>
      <w:proofErr w:type="spellStart"/>
      <w:r>
        <w:t>prijevoz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za </w:t>
      </w:r>
      <w:proofErr w:type="spellStart"/>
      <w:r>
        <w:t>nezapošljavanje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 xml:space="preserve">.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redovnih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fakulteta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a </w:t>
      </w:r>
      <w:proofErr w:type="spellStart"/>
      <w:r>
        <w:t>ukupno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3.655.191,32 EUR.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31.12.2025.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ukupnom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5.380.570,43 EUR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od 11%.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,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značajnijih</w:t>
      </w:r>
      <w:proofErr w:type="spellEnd"/>
      <w:r>
        <w:t xml:space="preserve"> </w:t>
      </w:r>
      <w:proofErr w:type="spellStart"/>
      <w:r>
        <w:t>odstupanja</w:t>
      </w:r>
      <w:proofErr w:type="spellEnd"/>
      <w:r>
        <w:t xml:space="preserve">, </w:t>
      </w:r>
      <w:proofErr w:type="spellStart"/>
      <w:r>
        <w:t>iako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uvećani</w:t>
      </w:r>
      <w:proofErr w:type="spellEnd"/>
      <w:r>
        <w:t xml:space="preserve"> </w:t>
      </w:r>
      <w:proofErr w:type="spellStart"/>
      <w:r>
        <w:t>redovni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uredski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, </w:t>
      </w:r>
      <w:proofErr w:type="spellStart"/>
      <w:r>
        <w:t>energiju</w:t>
      </w:r>
      <w:proofErr w:type="spellEnd"/>
      <w:r>
        <w:t xml:space="preserve"> po </w:t>
      </w:r>
      <w:proofErr w:type="spellStart"/>
      <w:r>
        <w:t>preseljenju</w:t>
      </w:r>
      <w:proofErr w:type="spellEnd"/>
      <w:r>
        <w:t xml:space="preserve"> fakulteta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matičnu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, a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energiju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79.889,72 EUR.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specifičnost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je da se </w:t>
      </w:r>
      <w:proofErr w:type="spellStart"/>
      <w:r>
        <w:t>rashod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 </w:t>
      </w:r>
      <w:proofErr w:type="spellStart"/>
      <w:r>
        <w:t>iskazao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rashod</w:t>
      </w:r>
      <w:proofErr w:type="spellEnd"/>
      <w:r>
        <w:t xml:space="preserve">, a za koji se </w:t>
      </w:r>
      <w:proofErr w:type="spellStart"/>
      <w:r>
        <w:t>prihod</w:t>
      </w:r>
      <w:proofErr w:type="spellEnd"/>
      <w:r>
        <w:t xml:space="preserve"> </w:t>
      </w:r>
      <w:proofErr w:type="spellStart"/>
      <w:r>
        <w:t>očekuje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u 2026. </w:t>
      </w:r>
      <w:proofErr w:type="spellStart"/>
      <w:r>
        <w:t>godini</w:t>
      </w:r>
      <w:proofErr w:type="spellEnd"/>
      <w:r>
        <w:t xml:space="preserve">. </w:t>
      </w:r>
      <w:proofErr w:type="spellStart"/>
      <w:r>
        <w:t>Najveće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prijenose</w:t>
      </w:r>
      <w:proofErr w:type="spellEnd"/>
      <w:r>
        <w:t xml:space="preserve"> </w:t>
      </w:r>
      <w:proofErr w:type="spellStart"/>
      <w:r>
        <w:t>partnerima</w:t>
      </w:r>
      <w:proofErr w:type="spellEnd"/>
      <w:r>
        <w:t xml:space="preserve"> po </w:t>
      </w:r>
      <w:proofErr w:type="spellStart"/>
      <w:r>
        <w:t>osnovi</w:t>
      </w:r>
      <w:proofErr w:type="spellEnd"/>
      <w:r>
        <w:t xml:space="preserve"> EU </w:t>
      </w:r>
      <w:proofErr w:type="spellStart"/>
      <w:r>
        <w:t>projekata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poglavito</w:t>
      </w:r>
      <w:proofErr w:type="spellEnd"/>
      <w:r>
        <w:t xml:space="preserve"> za Erasmus +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ugovoren</w:t>
      </w:r>
      <w:proofErr w:type="spellEnd"/>
      <w:r>
        <w:t xml:space="preserve"> u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.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je 551.665,92 EUR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20.453,00 EUR.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(</w:t>
      </w:r>
      <w:proofErr w:type="spellStart"/>
      <w:r>
        <w:t>plaće</w:t>
      </w:r>
      <w:proofErr w:type="spellEnd"/>
      <w:r>
        <w:t xml:space="preserve">, </w:t>
      </w:r>
      <w:proofErr w:type="spellStart"/>
      <w:r>
        <w:t>doprinosi</w:t>
      </w:r>
      <w:proofErr w:type="spellEnd"/>
      <w:r>
        <w:t xml:space="preserve">,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- </w:t>
      </w:r>
      <w:proofErr w:type="spellStart"/>
      <w:r>
        <w:t>jubilarne</w:t>
      </w:r>
      <w:proofErr w:type="spellEnd"/>
      <w:r>
        <w:t xml:space="preserve"> </w:t>
      </w:r>
      <w:proofErr w:type="spellStart"/>
      <w:r>
        <w:t>nagrade</w:t>
      </w:r>
      <w:proofErr w:type="spellEnd"/>
      <w:r>
        <w:t xml:space="preserve">, </w:t>
      </w:r>
      <w:proofErr w:type="spellStart"/>
      <w:r>
        <w:t>regres</w:t>
      </w:r>
      <w:proofErr w:type="spellEnd"/>
      <w:r>
        <w:t xml:space="preserve">, </w:t>
      </w:r>
      <w:proofErr w:type="spellStart"/>
      <w:r>
        <w:t>božićnica</w:t>
      </w:r>
      <w:proofErr w:type="spellEnd"/>
      <w:r>
        <w:t xml:space="preserve">, </w:t>
      </w:r>
      <w:proofErr w:type="spellStart"/>
      <w:r>
        <w:t>uskrsnica</w:t>
      </w:r>
      <w:proofErr w:type="spellEnd"/>
      <w:r>
        <w:t xml:space="preserve">) </w:t>
      </w:r>
      <w:proofErr w:type="spellStart"/>
      <w:r>
        <w:t>iznose</w:t>
      </w:r>
      <w:proofErr w:type="spellEnd"/>
      <w:r>
        <w:t xml:space="preserve"> 4.090.877,14 EUR, a </w:t>
      </w:r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717.209,06 EUR, od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najznačajniji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službenih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111.683,00 EUR,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prijevoz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 </w:t>
      </w:r>
      <w:proofErr w:type="spellStart"/>
      <w:r>
        <w:t>posla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54.377,98 EUR </w:t>
      </w:r>
      <w:proofErr w:type="spellStart"/>
      <w:r>
        <w:t>te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koji </w:t>
      </w:r>
      <w:proofErr w:type="spellStart"/>
      <w:r>
        <w:t>iznosi</w:t>
      </w:r>
      <w:proofErr w:type="spellEnd"/>
      <w:r>
        <w:t xml:space="preserve"> 368.100,75 EUR. </w:t>
      </w:r>
      <w:proofErr w:type="spellStart"/>
      <w:r>
        <w:t>Uvećani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usavršavanja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koji </w:t>
      </w:r>
      <w:proofErr w:type="spellStart"/>
      <w:r>
        <w:t>iznose</w:t>
      </w:r>
      <w:proofErr w:type="spellEnd"/>
      <w:r>
        <w:t xml:space="preserve"> 17.930,90 EUR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računalne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32.592,20 EUR </w:t>
      </w:r>
      <w:proofErr w:type="spellStart"/>
      <w:r>
        <w:t>koje</w:t>
      </w:r>
      <w:proofErr w:type="spellEnd"/>
      <w:r>
        <w:t xml:space="preserve"> se,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rasta </w:t>
      </w:r>
      <w:proofErr w:type="spellStart"/>
      <w:r>
        <w:t>cijena</w:t>
      </w:r>
      <w:proofErr w:type="spellEnd"/>
      <w:r>
        <w:t xml:space="preserve">,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uspostavljanje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matičnoj</w:t>
      </w:r>
      <w:proofErr w:type="spellEnd"/>
      <w:r>
        <w:t xml:space="preserve"> </w:t>
      </w:r>
      <w:proofErr w:type="spellStart"/>
      <w:r>
        <w:t>lokaciji</w:t>
      </w:r>
      <w:proofErr w:type="spellEnd"/>
      <w:r>
        <w:t xml:space="preserve"> fakulteta. U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, a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230.356,43 EUR. U </w:t>
      </w:r>
      <w:proofErr w:type="spellStart"/>
      <w:r>
        <w:t>razdoblju</w:t>
      </w:r>
      <w:proofErr w:type="spellEnd"/>
      <w:r>
        <w:t xml:space="preserve"> je </w:t>
      </w:r>
      <w:proofErr w:type="spellStart"/>
      <w:r>
        <w:t>izvršeno</w:t>
      </w:r>
      <w:proofErr w:type="spellEnd"/>
      <w:r>
        <w:t xml:space="preserve">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nužno</w:t>
      </w:r>
      <w:proofErr w:type="spellEnd"/>
      <w:r>
        <w:t xml:space="preserve"> </w:t>
      </w:r>
      <w:proofErr w:type="spellStart"/>
      <w:r>
        <w:t>opremanje</w:t>
      </w:r>
      <w:proofErr w:type="spellEnd"/>
      <w:r>
        <w:t xml:space="preserve"> fakulteta - </w:t>
      </w:r>
      <w:proofErr w:type="spellStart"/>
      <w:r>
        <w:t>uz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, </w:t>
      </w:r>
      <w:proofErr w:type="spellStart"/>
      <w:r>
        <w:t>nabavljen</w:t>
      </w:r>
      <w:proofErr w:type="spellEnd"/>
      <w:r>
        <w:t xml:space="preserve"> je </w:t>
      </w:r>
      <w:proofErr w:type="spellStart"/>
      <w:r>
        <w:t>vatrozid</w:t>
      </w:r>
      <w:proofErr w:type="spellEnd"/>
      <w:r>
        <w:t xml:space="preserve">, </w:t>
      </w:r>
      <w:proofErr w:type="spellStart"/>
      <w:r>
        <w:t>nabavljen</w:t>
      </w:r>
      <w:proofErr w:type="spellEnd"/>
      <w:r>
        <w:t xml:space="preserve"> je </w:t>
      </w:r>
      <w:proofErr w:type="spellStart"/>
      <w:r>
        <w:t>prijeko</w:t>
      </w:r>
      <w:proofErr w:type="spellEnd"/>
      <w:r>
        <w:t xml:space="preserve"> </w:t>
      </w:r>
      <w:proofErr w:type="spellStart"/>
      <w:r>
        <w:t>potrebni</w:t>
      </w:r>
      <w:proofErr w:type="spellEnd"/>
      <w:r>
        <w:t xml:space="preserve"> </w:t>
      </w:r>
      <w:proofErr w:type="spellStart"/>
      <w:r>
        <w:t>namještaj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, police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, </w:t>
      </w:r>
      <w:proofErr w:type="spellStart"/>
      <w:r>
        <w:t>mrežna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iz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razvojne</w:t>
      </w:r>
      <w:proofErr w:type="spellEnd"/>
      <w:r>
        <w:t xml:space="preserve"> </w:t>
      </w:r>
      <w:proofErr w:type="spellStart"/>
      <w:r>
        <w:t>proračunske</w:t>
      </w:r>
      <w:proofErr w:type="spellEnd"/>
      <w:r>
        <w:t xml:space="preserve"> </w:t>
      </w:r>
      <w:proofErr w:type="spellStart"/>
      <w:r>
        <w:t>komponente</w:t>
      </w:r>
      <w:proofErr w:type="spellEnd"/>
      <w:r>
        <w:t xml:space="preserve"> </w:t>
      </w:r>
      <w:proofErr w:type="spellStart"/>
      <w:r>
        <w:t>nabavljen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videonadzora</w:t>
      </w:r>
      <w:proofErr w:type="spellEnd"/>
      <w:r>
        <w:t xml:space="preserve">. </w:t>
      </w:r>
      <w:proofErr w:type="spellStart"/>
      <w:r>
        <w:t>Nabavljen</w:t>
      </w:r>
      <w:proofErr w:type="spellEnd"/>
      <w:r>
        <w:t xml:space="preserve"> je </w:t>
      </w:r>
      <w:proofErr w:type="spellStart"/>
      <w:r>
        <w:t>veliki</w:t>
      </w:r>
      <w:proofErr w:type="spellEnd"/>
      <w:r>
        <w:t xml:space="preserve"> </w:t>
      </w:r>
      <w:proofErr w:type="spellStart"/>
      <w:r>
        <w:t>središnji</w:t>
      </w:r>
      <w:proofErr w:type="spellEnd"/>
      <w:r>
        <w:t xml:space="preserve"> </w:t>
      </w:r>
      <w:proofErr w:type="spellStart"/>
      <w:r>
        <w:t>hardver</w:t>
      </w:r>
      <w:proofErr w:type="spellEnd"/>
      <w:r>
        <w:t xml:space="preserve">, </w:t>
      </w:r>
      <w:proofErr w:type="spellStart"/>
      <w:r>
        <w:t>računalna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, 3D printer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iz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institucionalnih</w:t>
      </w:r>
      <w:proofErr w:type="spellEnd"/>
      <w:r>
        <w:t xml:space="preserve"> "NPOO </w:t>
      </w:r>
      <w:proofErr w:type="spellStart"/>
      <w:r>
        <w:t>projekata</w:t>
      </w:r>
      <w:proofErr w:type="spellEnd"/>
      <w:r>
        <w:t xml:space="preserve">", </w:t>
      </w:r>
      <w:proofErr w:type="spellStart"/>
      <w:r>
        <w:t>nabavljen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industrijski</w:t>
      </w:r>
      <w:proofErr w:type="spellEnd"/>
      <w:r>
        <w:t xml:space="preserve"> robot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>. </w:t>
      </w:r>
      <w:proofErr w:type="spellStart"/>
      <w:r>
        <w:t>Ukupno</w:t>
      </w:r>
      <w:proofErr w:type="spellEnd"/>
      <w:r>
        <w:t xml:space="preserve"> je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829.524,89 EUR koji </w:t>
      </w:r>
      <w:proofErr w:type="spellStart"/>
      <w:r>
        <w:t>umanjen</w:t>
      </w:r>
      <w:proofErr w:type="spellEnd"/>
      <w:r>
        <w:t xml:space="preserve"> za </w:t>
      </w:r>
      <w:proofErr w:type="spellStart"/>
      <w:r>
        <w:t>manjak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gramStart"/>
      <w:r>
        <w:t xml:space="preserve">u  </w:t>
      </w:r>
      <w:proofErr w:type="spellStart"/>
      <w:r>
        <w:t>iznosu</w:t>
      </w:r>
      <w:proofErr w:type="spellEnd"/>
      <w:proofErr w:type="gramEnd"/>
      <w:r>
        <w:t xml:space="preserve"> od 599.168,46 EUR.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pripisati</w:t>
      </w:r>
      <w:proofErr w:type="spellEnd"/>
      <w:r>
        <w:t xml:space="preserve"> </w:t>
      </w:r>
      <w:proofErr w:type="spellStart"/>
      <w:r>
        <w:t>neposrednim</w:t>
      </w:r>
      <w:proofErr w:type="spellEnd"/>
      <w:r>
        <w:t xml:space="preserve"> </w:t>
      </w:r>
      <w:proofErr w:type="spellStart"/>
      <w:r>
        <w:t>prihodima</w:t>
      </w:r>
      <w:proofErr w:type="spellEnd"/>
      <w:r>
        <w:t xml:space="preserve"> od EU </w:t>
      </w:r>
      <w:proofErr w:type="spellStart"/>
      <w:r>
        <w:t>projekata</w:t>
      </w:r>
      <w:proofErr w:type="spellEnd"/>
      <w:r>
        <w:t xml:space="preserve"> u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od 1.802.079,68 EUR,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njihovi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717.780,97 EUR, </w:t>
      </w:r>
      <w:proofErr w:type="spellStart"/>
      <w:r>
        <w:t>uz</w:t>
      </w:r>
      <w:proofErr w:type="spellEnd"/>
      <w:r>
        <w:t xml:space="preserve"> </w:t>
      </w:r>
      <w:proofErr w:type="spellStart"/>
      <w:r>
        <w:t>nedostatak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za </w:t>
      </w:r>
      <w:proofErr w:type="spellStart"/>
      <w:r>
        <w:t>plaću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po </w:t>
      </w:r>
      <w:proofErr w:type="spellStart"/>
      <w:r>
        <w:t>pitanju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prethodnih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nastalih</w:t>
      </w:r>
      <w:proofErr w:type="spellEnd"/>
      <w:r>
        <w:t xml:space="preserve"> u </w:t>
      </w:r>
      <w:proofErr w:type="spellStart"/>
      <w:r>
        <w:t>razdoblju</w:t>
      </w:r>
      <w:proofErr w:type="spellEnd"/>
      <w:r>
        <w:t>. </w:t>
      </w:r>
    </w:p>
    <w:p w14:paraId="4C346CC7" w14:textId="77777777" w:rsidR="00B7743A" w:rsidRDefault="00000000">
      <w:r>
        <w:lastRenderedPageBreak/>
        <w:br/>
      </w:r>
    </w:p>
    <w:p w14:paraId="123DFB2B" w14:textId="77777777" w:rsidR="00B7743A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6ED9512C" w14:textId="77777777" w:rsidR="00B7743A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43A" w14:paraId="693AB55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BF9CD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AE7D8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D100D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DA09B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74B01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52007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7743A" w14:paraId="3F0FC8B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C7E57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021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978301" w14:textId="77777777" w:rsidR="00B7743A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Građevinski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objekti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0211 do 0214 - 02921)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9AE6E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021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58F8D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17.582.652,19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0C2AD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19.177.193,26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9585D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14:paraId="5B94FC82" w14:textId="77777777" w:rsidR="00B7743A" w:rsidRDefault="00B7743A">
      <w:pPr>
        <w:spacing w:after="0"/>
      </w:pPr>
    </w:p>
    <w:p w14:paraId="7DA7FF1C" w14:textId="77777777" w:rsidR="00B7743A" w:rsidRDefault="00000000">
      <w:pPr>
        <w:jc w:val="both"/>
      </w:pPr>
      <w:proofErr w:type="spellStart"/>
      <w:r>
        <w:t>Najznačajnije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u </w:t>
      </w:r>
      <w:proofErr w:type="spellStart"/>
      <w:r>
        <w:t>vrijednosno</w:t>
      </w:r>
      <w:proofErr w:type="spellEnd"/>
      <w:r>
        <w:t xml:space="preserve"> </w:t>
      </w:r>
      <w:proofErr w:type="spellStart"/>
      <w:r>
        <w:t>najznačajnijoj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fakulteta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obnove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1.828.235,26 EUR.</w:t>
      </w:r>
    </w:p>
    <w:p w14:paraId="30F2C6FD" w14:textId="77777777" w:rsidR="00B7743A" w:rsidRDefault="00B7743A"/>
    <w:p w14:paraId="6CC8AE73" w14:textId="77777777" w:rsidR="00B7743A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43A" w14:paraId="7F5BDAD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96A1C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8A995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EAB2C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97BFF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6A448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90BF1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7743A" w14:paraId="43A114F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7CB88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77D2AF" w14:textId="77777777" w:rsidR="00B7743A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Ispravak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vrijednosti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građevinskih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objekata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A58D8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8F3C13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1.197.862,87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06412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1.431.557,09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BBEBD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14:paraId="15AE9D21" w14:textId="77777777" w:rsidR="00B7743A" w:rsidRDefault="00B7743A">
      <w:pPr>
        <w:spacing w:after="0"/>
      </w:pPr>
    </w:p>
    <w:p w14:paraId="66CEBA73" w14:textId="77777777" w:rsidR="00B7743A" w:rsidRDefault="00000000">
      <w:proofErr w:type="spellStart"/>
      <w:r>
        <w:t>Sukladno</w:t>
      </w:r>
      <w:proofErr w:type="spellEnd"/>
      <w:r>
        <w:t xml:space="preserve"> </w:t>
      </w:r>
      <w:proofErr w:type="spellStart"/>
      <w:r>
        <w:t>povećanju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obnove</w:t>
      </w:r>
      <w:proofErr w:type="spellEnd"/>
      <w:r>
        <w:t xml:space="preserve"> u </w:t>
      </w:r>
      <w:proofErr w:type="spellStart"/>
      <w:r>
        <w:t>većem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u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, </w:t>
      </w:r>
      <w:proofErr w:type="spellStart"/>
      <w:r>
        <w:t>evidentiran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ispravka</w:t>
      </w:r>
      <w:proofErr w:type="spellEnd"/>
      <w:r>
        <w:t xml:space="preserve"> </w:t>
      </w:r>
      <w:proofErr w:type="spellStart"/>
      <w:r>
        <w:t>njezine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>.</w:t>
      </w:r>
    </w:p>
    <w:p w14:paraId="23D3C836" w14:textId="77777777" w:rsidR="00B7743A" w:rsidRDefault="00B7743A"/>
    <w:p w14:paraId="0EB491D1" w14:textId="77777777" w:rsidR="00B7743A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43A" w14:paraId="595CF8D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ABC5E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939E5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EAE34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DDA95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749DD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984EB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7743A" w14:paraId="1F9FA4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36FA0" w14:textId="77777777" w:rsidR="00B7743A" w:rsidRDefault="00B774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9E4251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2D432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379E7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21.474.097,30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85095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24.210.510,33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850C6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</w:tbl>
    <w:p w14:paraId="4A74DEE4" w14:textId="77777777" w:rsidR="00B7743A" w:rsidRDefault="00B7743A">
      <w:pPr>
        <w:spacing w:after="0"/>
      </w:pPr>
    </w:p>
    <w:p w14:paraId="0097A820" w14:textId="77777777" w:rsidR="00B7743A" w:rsidRDefault="00000000">
      <w:proofErr w:type="spellStart"/>
      <w:r>
        <w:t>Povećanje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je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povećanju</w:t>
      </w:r>
      <w:proofErr w:type="spellEnd"/>
      <w:r>
        <w:t xml:space="preserve"> </w:t>
      </w:r>
      <w:proofErr w:type="spellStart"/>
      <w:r>
        <w:t>rashoda</w:t>
      </w:r>
      <w:proofErr w:type="spellEnd"/>
      <w:r>
        <w:t>.</w:t>
      </w:r>
    </w:p>
    <w:p w14:paraId="55197830" w14:textId="77777777" w:rsidR="00B7743A" w:rsidRDefault="00B7743A"/>
    <w:p w14:paraId="4D24BBDB" w14:textId="77777777" w:rsidR="00B7743A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43A" w14:paraId="3F56400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78D83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CA2F8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4EFC5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F0CCC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A9260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E4EEA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7743A" w14:paraId="07A88A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2F7ED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4E1F75" w14:textId="77777777" w:rsidR="00B7743A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Potencijalne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osnovi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sudskih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sporova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tijeku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995C1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30D8B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7B4DDC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481.138,46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6CBE2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7D8EB56" w14:textId="77777777" w:rsidR="00B7743A" w:rsidRDefault="00B7743A">
      <w:pPr>
        <w:spacing w:after="0"/>
      </w:pPr>
    </w:p>
    <w:p w14:paraId="07C93C74" w14:textId="77777777" w:rsidR="00B7743A" w:rsidRDefault="00000000">
      <w:pPr>
        <w:jc w:val="both"/>
      </w:pPr>
      <w:proofErr w:type="spellStart"/>
      <w:r>
        <w:t>Potencijalne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po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sporova</w:t>
      </w:r>
      <w:proofErr w:type="spellEnd"/>
      <w:r>
        <w:t xml:space="preserve"> u </w:t>
      </w:r>
      <w:proofErr w:type="spellStart"/>
      <w:r>
        <w:t>tijeku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39.816,84 EUR </w:t>
      </w:r>
      <w:proofErr w:type="spellStart"/>
      <w:r>
        <w:t>potencijalnih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za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vlasništva</w:t>
      </w:r>
      <w:proofErr w:type="spellEnd"/>
      <w:r>
        <w:t xml:space="preserve">, 202,246.93 EUR po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239,074.69 EUR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spora</w:t>
      </w:r>
      <w:proofErr w:type="spellEnd"/>
      <w:r>
        <w:t xml:space="preserve"> u </w:t>
      </w:r>
      <w:proofErr w:type="spellStart"/>
      <w:r>
        <w:t>tijeku</w:t>
      </w:r>
      <w:proofErr w:type="spellEnd"/>
      <w:r>
        <w:t xml:space="preserve">. </w:t>
      </w:r>
      <w:proofErr w:type="spellStart"/>
      <w:r>
        <w:t>Procijenjeno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odljeva</w:t>
      </w:r>
      <w:proofErr w:type="spellEnd"/>
      <w:r>
        <w:t xml:space="preserve"> je </w:t>
      </w:r>
      <w:proofErr w:type="spellStart"/>
      <w:r>
        <w:t>sljedeća</w:t>
      </w:r>
      <w:proofErr w:type="spellEnd"/>
      <w:r>
        <w:t xml:space="preserve"> </w:t>
      </w:r>
      <w:proofErr w:type="spellStart"/>
      <w:r>
        <w:t>proračunska</w:t>
      </w:r>
      <w:proofErr w:type="spellEnd"/>
      <w:r>
        <w:t xml:space="preserve"> </w:t>
      </w:r>
      <w:proofErr w:type="spellStart"/>
      <w:r>
        <w:t>godina</w:t>
      </w:r>
      <w:proofErr w:type="spellEnd"/>
      <w:r>
        <w:t>.</w:t>
      </w:r>
    </w:p>
    <w:p w14:paraId="4E20EB6E" w14:textId="77777777" w:rsidR="00B7743A" w:rsidRDefault="00B7743A"/>
    <w:p w14:paraId="5FF4CB21" w14:textId="77777777" w:rsidR="00B7743A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Promjene</w:t>
      </w:r>
      <w:proofErr w:type="spellEnd"/>
      <w:r>
        <w:rPr>
          <w:b/>
          <w:sz w:val="28"/>
        </w:rPr>
        <w:t xml:space="preserve"> u </w:t>
      </w:r>
      <w:proofErr w:type="spellStart"/>
      <w:r>
        <w:rPr>
          <w:b/>
          <w:sz w:val="28"/>
        </w:rPr>
        <w:t>vrijednosti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obujmu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imovine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obveza</w:t>
      </w:r>
      <w:proofErr w:type="spellEnd"/>
    </w:p>
    <w:p w14:paraId="4D21879B" w14:textId="77777777" w:rsidR="00B7743A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43A" w14:paraId="49E5F14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C1E40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14807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51905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DC4E9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7EE4A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D904E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7743A" w14:paraId="7280C22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51A31" w14:textId="77777777" w:rsidR="00B7743A" w:rsidRDefault="00B774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AA7987" w14:textId="77777777" w:rsidR="00B7743A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Proizvedena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524EE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6A615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1.828.325,26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FE7BD9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4.238,38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2165C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</w:t>
            </w:r>
          </w:p>
        </w:tc>
      </w:tr>
    </w:tbl>
    <w:p w14:paraId="50A54063" w14:textId="77777777" w:rsidR="00B7743A" w:rsidRDefault="00B7743A">
      <w:pPr>
        <w:spacing w:after="0"/>
      </w:pPr>
    </w:p>
    <w:p w14:paraId="6EA3F74B" w14:textId="77777777" w:rsidR="00B7743A" w:rsidRDefault="00000000">
      <w:pPr>
        <w:jc w:val="both"/>
      </w:pPr>
      <w:proofErr w:type="spellStart"/>
      <w:r>
        <w:t>Povećanje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fakulteta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obnove</w:t>
      </w:r>
      <w:proofErr w:type="spellEnd"/>
      <w:r>
        <w:t xml:space="preserve"> po </w:t>
      </w:r>
      <w:proofErr w:type="spellStart"/>
      <w:r>
        <w:t>obavijesti</w:t>
      </w:r>
      <w:proofErr w:type="spellEnd"/>
      <w:r>
        <w:t xml:space="preserve"> od </w:t>
      </w:r>
      <w:proofErr w:type="spellStart"/>
      <w:r>
        <w:t>proračunskog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voditelja </w:t>
      </w:r>
      <w:proofErr w:type="spellStart"/>
      <w:r>
        <w:t>projekta</w:t>
      </w:r>
      <w:proofErr w:type="spellEnd"/>
      <w:r>
        <w:t xml:space="preserve">, a </w:t>
      </w:r>
      <w:proofErr w:type="spellStart"/>
      <w:r>
        <w:t>smanjenje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pogrešno</w:t>
      </w:r>
      <w:proofErr w:type="spellEnd"/>
      <w:r>
        <w:t xml:space="preserve"> </w:t>
      </w:r>
      <w:proofErr w:type="spellStart"/>
      <w:r>
        <w:t>obračunati</w:t>
      </w:r>
      <w:proofErr w:type="spellEnd"/>
      <w:r>
        <w:t xml:space="preserve"> PDV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koji je </w:t>
      </w:r>
      <w:proofErr w:type="spellStart"/>
      <w:r>
        <w:t>ispravljen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>.</w:t>
      </w:r>
    </w:p>
    <w:p w14:paraId="2352F694" w14:textId="77777777" w:rsidR="00B7743A" w:rsidRDefault="00B7743A"/>
    <w:p w14:paraId="40CA48D5" w14:textId="77777777" w:rsidR="00B7743A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2B58EEA5" w14:textId="77777777" w:rsidR="00B7743A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7743A" w14:paraId="28E1F5A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7EC90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B01C4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F918D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F7D6D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BA913" w14:textId="77777777" w:rsidR="00B7743A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7743A" w14:paraId="5F9ED3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9C089" w14:textId="77777777" w:rsidR="00B7743A" w:rsidRDefault="00B7743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7C42CD" w14:textId="77777777" w:rsidR="00B7743A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B9633" w14:textId="77777777" w:rsidR="00B7743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5E19AA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B6141" w14:textId="77777777" w:rsidR="00B7743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3518B7" w14:textId="77777777" w:rsidR="00B7743A" w:rsidRDefault="00B7743A">
      <w:pPr>
        <w:spacing w:after="0"/>
      </w:pPr>
    </w:p>
    <w:p w14:paraId="6F021AB7" w14:textId="77777777" w:rsidR="00B7743A" w:rsidRDefault="00000000">
      <w:pPr>
        <w:jc w:val="both"/>
      </w:pPr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01.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iznose</w:t>
      </w:r>
      <w:proofErr w:type="spellEnd"/>
      <w:r>
        <w:t xml:space="preserve"> 0,00 EUR. </w:t>
      </w:r>
      <w:proofErr w:type="spellStart"/>
      <w:r>
        <w:t>Sve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plaćene</w:t>
      </w:r>
      <w:proofErr w:type="spellEnd"/>
      <w:r>
        <w:t xml:space="preserve">. </w:t>
      </w:r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onih</w:t>
      </w:r>
      <w:proofErr w:type="spellEnd"/>
      <w:r>
        <w:t xml:space="preserve"> za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one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,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poslovanje</w:t>
      </w:r>
      <w:proofErr w:type="spellEnd"/>
      <w:r>
        <w:t xml:space="preserve"> fakulteta za </w:t>
      </w:r>
      <w:proofErr w:type="spellStart"/>
      <w:r>
        <w:t>mjesec</w:t>
      </w:r>
      <w:proofErr w:type="spellEnd"/>
      <w:r>
        <w:t xml:space="preserve"> </w:t>
      </w:r>
      <w:proofErr w:type="spellStart"/>
      <w:r>
        <w:t>prosinac</w:t>
      </w:r>
      <w:proofErr w:type="spellEnd"/>
      <w:r>
        <w:t xml:space="preserve">.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nedospjelih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je 386.040,60 EUR.</w:t>
      </w:r>
    </w:p>
    <w:p w14:paraId="3EC7D099" w14:textId="77777777" w:rsidR="00B7743A" w:rsidRDefault="00B7743A"/>
    <w:p w14:paraId="129A49A3" w14:textId="77777777" w:rsidR="00B7743A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8.</w:t>
      </w:r>
    </w:p>
    <w:p w14:paraId="4407B3B4" w14:textId="77777777" w:rsidR="00B7743A" w:rsidRDefault="00000000">
      <w:pPr>
        <w:spacing w:line="240" w:lineRule="auto"/>
        <w:jc w:val="both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14:paraId="12512922" w14:textId="16B6F4F8" w:rsidR="00014854" w:rsidRDefault="00000000">
      <w:pPr>
        <w:jc w:val="both"/>
      </w:pPr>
      <w:r>
        <w:t xml:space="preserve">U </w:t>
      </w:r>
      <w:proofErr w:type="spellStart"/>
      <w:r>
        <w:t>razdoblju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do 31.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je 1.800.254,35 EUR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EU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.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razlog</w:t>
      </w:r>
      <w:proofErr w:type="spellEnd"/>
      <w:r>
        <w:t xml:space="preserve"> </w:t>
      </w:r>
      <w:proofErr w:type="spellStart"/>
      <w:r>
        <w:t>ovome</w:t>
      </w:r>
      <w:proofErr w:type="spellEnd"/>
      <w:r>
        <w:t xml:space="preserve"> je </w:t>
      </w:r>
      <w:proofErr w:type="spellStart"/>
      <w:r>
        <w:t>ugovaranje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Erasmus+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akronima</w:t>
      </w:r>
      <w:proofErr w:type="spellEnd"/>
      <w:r>
        <w:t xml:space="preserve"> "DEXIT", "PASEC" </w:t>
      </w:r>
      <w:proofErr w:type="spellStart"/>
      <w:r>
        <w:t>i</w:t>
      </w:r>
      <w:proofErr w:type="spellEnd"/>
      <w:r>
        <w:t xml:space="preserve"> "DTT4SD "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ostvarene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u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od 1.549.433,20 EUR. </w:t>
      </w:r>
      <w:proofErr w:type="spellStart"/>
      <w:r>
        <w:t>Slično</w:t>
      </w:r>
      <w:proofErr w:type="spellEnd"/>
      <w:r>
        <w:t xml:space="preserve"> Erasmus+ </w:t>
      </w:r>
      <w:proofErr w:type="spellStart"/>
      <w:r>
        <w:t>projektu</w:t>
      </w:r>
      <w:proofErr w:type="spellEnd"/>
      <w:r>
        <w:t xml:space="preserve"> "MLUMSE"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očekuju</w:t>
      </w:r>
      <w:proofErr w:type="spellEnd"/>
      <w:r>
        <w:t xml:space="preserve"> se </w:t>
      </w:r>
      <w:proofErr w:type="spellStart"/>
      <w:r>
        <w:t>prijenosi</w:t>
      </w:r>
      <w:proofErr w:type="spellEnd"/>
      <w:r>
        <w:t xml:space="preserve"> </w:t>
      </w:r>
      <w:proofErr w:type="spellStart"/>
      <w:r>
        <w:t>partnerima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projektima</w:t>
      </w:r>
      <w:proofErr w:type="spellEnd"/>
      <w:r>
        <w:t xml:space="preserve"> u </w:t>
      </w:r>
      <w:proofErr w:type="spellStart"/>
      <w:r>
        <w:t>značajnim</w:t>
      </w:r>
      <w:proofErr w:type="spellEnd"/>
      <w:r>
        <w:t xml:space="preserve"> </w:t>
      </w:r>
      <w:proofErr w:type="spellStart"/>
      <w:r>
        <w:t>iznosima</w:t>
      </w:r>
      <w:proofErr w:type="spellEnd"/>
      <w:r>
        <w:t xml:space="preserve"> u </w:t>
      </w:r>
      <w:proofErr w:type="spellStart"/>
      <w:r>
        <w:t>sljedećem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tog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toliko</w:t>
      </w:r>
      <w:proofErr w:type="spellEnd"/>
      <w:r>
        <w:t xml:space="preserve"> </w:t>
      </w:r>
      <w:proofErr w:type="spellStart"/>
      <w:r>
        <w:t>značajna</w:t>
      </w:r>
      <w:proofErr w:type="spellEnd"/>
      <w:r>
        <w:t xml:space="preserve">.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nefinancijsku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je </w:t>
      </w:r>
      <w:proofErr w:type="spellStart"/>
      <w:r>
        <w:t>iznosila</w:t>
      </w:r>
      <w:proofErr w:type="spellEnd"/>
      <w:r>
        <w:t xml:space="preserve"> 717.780,97 EUR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viša</w:t>
      </w:r>
      <w:proofErr w:type="spellEnd"/>
      <w:r>
        <w:t xml:space="preserve"> je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proračunsku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iznosili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51,775.83 EUR, </w:t>
      </w:r>
      <w:proofErr w:type="spellStart"/>
      <w:r>
        <w:t>poglavito</w:t>
      </w:r>
      <w:proofErr w:type="spellEnd"/>
      <w:r>
        <w:t xml:space="preserve"> za </w:t>
      </w:r>
      <w:proofErr w:type="spellStart"/>
      <w:r>
        <w:t>iznose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 xml:space="preserve"> </w:t>
      </w:r>
      <w:proofErr w:type="spellStart"/>
      <w:r>
        <w:t>partnerima</w:t>
      </w:r>
      <w:proofErr w:type="spellEnd"/>
      <w:r>
        <w:t xml:space="preserve">. </w:t>
      </w:r>
      <w:proofErr w:type="spellStart"/>
      <w:r>
        <w:t>Izvještaj</w:t>
      </w:r>
      <w:proofErr w:type="spellEnd"/>
      <w:r>
        <w:t xml:space="preserve"> o EU </w:t>
      </w:r>
      <w:proofErr w:type="spellStart"/>
      <w:r>
        <w:t>projektima</w:t>
      </w:r>
      <w:proofErr w:type="spellEnd"/>
      <w:r>
        <w:t xml:space="preserve"> za 2025.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za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programskog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2021.-2027. Ono </w:t>
      </w:r>
      <w:proofErr w:type="spellStart"/>
      <w:r>
        <w:t>što</w:t>
      </w:r>
      <w:proofErr w:type="spellEnd"/>
      <w:r>
        <w:t xml:space="preserve"> je novo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je da se za </w:t>
      </w:r>
      <w:proofErr w:type="spellStart"/>
      <w:r>
        <w:t>projekte</w:t>
      </w:r>
      <w:proofErr w:type="spellEnd"/>
      <w:r>
        <w:t xml:space="preserve"> od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izvanbilačni</w:t>
      </w:r>
      <w:proofErr w:type="spellEnd"/>
      <w:r>
        <w:t xml:space="preserve"> </w:t>
      </w:r>
      <w:proofErr w:type="spellStart"/>
      <w:r>
        <w:t>zapisi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ugovorenih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fakultet</w:t>
      </w:r>
      <w:proofErr w:type="spellEnd"/>
      <w:r>
        <w:t xml:space="preserve">, a koji se </w:t>
      </w:r>
      <w:proofErr w:type="spellStart"/>
      <w:r>
        <w:t>zatvaraju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umanjuju</w:t>
      </w:r>
      <w:proofErr w:type="spellEnd"/>
      <w:r>
        <w:t xml:space="preserve"> po </w:t>
      </w:r>
      <w:proofErr w:type="spellStart"/>
      <w:r>
        <w:t>obračunavanju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prihode</w:t>
      </w:r>
      <w:proofErr w:type="spellEnd"/>
      <w:r>
        <w:t xml:space="preserve"> po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za </w:t>
      </w:r>
      <w:proofErr w:type="spellStart"/>
      <w:r>
        <w:t>izvor</w:t>
      </w:r>
      <w:proofErr w:type="spellEnd"/>
      <w:r>
        <w:t xml:space="preserve"> 510 </w:t>
      </w:r>
      <w:proofErr w:type="gramStart"/>
      <w:r>
        <w:t xml:space="preserve">-  </w:t>
      </w:r>
      <w:proofErr w:type="spellStart"/>
      <w:r>
        <w:t>Programi</w:t>
      </w:r>
      <w:proofErr w:type="spellEnd"/>
      <w:proofErr w:type="gramEnd"/>
      <w:r>
        <w:t xml:space="preserve"> </w:t>
      </w:r>
      <w:proofErr w:type="spellStart"/>
      <w:r>
        <w:t>unije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izvršenim</w:t>
      </w:r>
      <w:proofErr w:type="spellEnd"/>
      <w:r>
        <w:t xml:space="preserve"> </w:t>
      </w:r>
      <w:proofErr w:type="spellStart"/>
      <w:r>
        <w:t>rashodima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odobrenim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uplaćenim</w:t>
      </w:r>
      <w:proofErr w:type="spellEnd"/>
      <w:r>
        <w:t xml:space="preserve"> </w:t>
      </w:r>
      <w:proofErr w:type="spellStart"/>
      <w:r>
        <w:t>izvješćima</w:t>
      </w:r>
      <w:proofErr w:type="spellEnd"/>
      <w:r>
        <w:t xml:space="preserve">. </w:t>
      </w:r>
      <w:proofErr w:type="spellStart"/>
      <w:r>
        <w:t>Specifičan</w:t>
      </w:r>
      <w:proofErr w:type="spellEnd"/>
      <w:r>
        <w:t xml:space="preserve"> je </w:t>
      </w:r>
      <w:proofErr w:type="spellStart"/>
      <w:r>
        <w:t>projekt</w:t>
      </w:r>
      <w:proofErr w:type="spellEnd"/>
      <w:r>
        <w:t xml:space="preserve"> "INTERREG" </w:t>
      </w:r>
      <w:proofErr w:type="spellStart"/>
      <w:r>
        <w:t>programa</w:t>
      </w:r>
      <w:proofErr w:type="spellEnd"/>
      <w:r>
        <w:t xml:space="preserve"> CLIMANATRES koji se </w:t>
      </w:r>
      <w:proofErr w:type="spellStart"/>
      <w:r>
        <w:t>sufinancira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nacionalnih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20%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kojeg</w:t>
      </w:r>
      <w:proofErr w:type="spellEnd"/>
      <w:r>
        <w:t xml:space="preserve"> je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podneseno</w:t>
      </w:r>
      <w:proofErr w:type="spellEnd"/>
      <w:r>
        <w:t xml:space="preserve">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, a </w:t>
      </w:r>
      <w:proofErr w:type="spellStart"/>
      <w:r>
        <w:t>čije</w:t>
      </w:r>
      <w:proofErr w:type="spellEnd"/>
      <w:r>
        <w:t xml:space="preserve"> se </w:t>
      </w:r>
      <w:proofErr w:type="spellStart"/>
      <w:r>
        <w:t>odobrenje</w:t>
      </w:r>
      <w:proofErr w:type="spellEnd"/>
      <w:r>
        <w:t xml:space="preserve"> </w:t>
      </w:r>
      <w:proofErr w:type="spellStart"/>
      <w:r>
        <w:t>očekuje</w:t>
      </w:r>
      <w:proofErr w:type="spellEnd"/>
      <w:r>
        <w:t xml:space="preserve"> u 2026. </w:t>
      </w:r>
      <w:proofErr w:type="spellStart"/>
      <w:r>
        <w:t>godini</w:t>
      </w:r>
      <w:proofErr w:type="spellEnd"/>
      <w:r>
        <w:t xml:space="preserve">,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evidentirane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. </w:t>
      </w:r>
      <w:proofErr w:type="spellStart"/>
      <w:r>
        <w:t>Prikazani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za </w:t>
      </w:r>
      <w:proofErr w:type="spellStart"/>
      <w:r>
        <w:t>institucionalne</w:t>
      </w:r>
      <w:proofErr w:type="spellEnd"/>
      <w:r>
        <w:t xml:space="preserve"> </w:t>
      </w:r>
      <w:proofErr w:type="spellStart"/>
      <w:r>
        <w:t>projekte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Nacionalnog</w:t>
      </w:r>
      <w:proofErr w:type="spellEnd"/>
      <w:r>
        <w:t xml:space="preserve"> plana </w:t>
      </w:r>
      <w:proofErr w:type="spellStart"/>
      <w:r>
        <w:t>oporavka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otpornosti</w:t>
      </w:r>
      <w:proofErr w:type="spellEnd"/>
      <w:r>
        <w:t xml:space="preserve"> (NPOO)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fakultet</w:t>
      </w:r>
      <w:proofErr w:type="spellEnd"/>
      <w:r>
        <w:t xml:space="preserve"> </w:t>
      </w:r>
      <w:proofErr w:type="spellStart"/>
      <w:r>
        <w:t>korisnik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programskog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a za </w:t>
      </w:r>
      <w:proofErr w:type="spellStart"/>
      <w:r>
        <w:t>koje</w:t>
      </w:r>
      <w:proofErr w:type="spellEnd"/>
      <w:r>
        <w:t xml:space="preserve"> je u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zaprimljena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uplata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izvršena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nabava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. Po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provedenim</w:t>
      </w:r>
      <w:proofErr w:type="spellEnd"/>
      <w:r>
        <w:t xml:space="preserve"> </w:t>
      </w:r>
      <w:proofErr w:type="spellStart"/>
      <w:r>
        <w:t>promjenama</w:t>
      </w:r>
      <w:proofErr w:type="spellEnd"/>
      <w:r>
        <w:t xml:space="preserve">, </w:t>
      </w:r>
      <w:proofErr w:type="spellStart"/>
      <w:r>
        <w:t>ukupno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po </w:t>
      </w:r>
      <w:proofErr w:type="spellStart"/>
      <w:r>
        <w:t>ugovorima</w:t>
      </w:r>
      <w:proofErr w:type="spellEnd"/>
      <w:r>
        <w:t xml:space="preserve"> </w:t>
      </w:r>
      <w:proofErr w:type="gramStart"/>
      <w:r>
        <w:t xml:space="preserve">o  </w:t>
      </w:r>
      <w:proofErr w:type="spellStart"/>
      <w:r>
        <w:t>dodijeljenim</w:t>
      </w:r>
      <w:proofErr w:type="spellEnd"/>
      <w:proofErr w:type="gramEnd"/>
      <w:r>
        <w:t xml:space="preserve"> </w:t>
      </w:r>
      <w:proofErr w:type="spellStart"/>
      <w:r>
        <w:t>bespovratnim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EU </w:t>
      </w:r>
      <w:proofErr w:type="spellStart"/>
      <w:r>
        <w:t>fondova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3.644.596,65 EUR, a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obračunatih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za </w:t>
      </w:r>
      <w:proofErr w:type="spellStart"/>
      <w:r>
        <w:t>pomoći</w:t>
      </w:r>
      <w:proofErr w:type="spellEnd"/>
      <w:r>
        <w:t xml:space="preserve"> od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EU 626,897.69 EUR. Za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, </w:t>
      </w:r>
      <w:proofErr w:type="spellStart"/>
      <w:r>
        <w:t>uvećane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pojedine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potraživanja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izvanbilančnih</w:t>
      </w:r>
      <w:proofErr w:type="spellEnd"/>
      <w:r>
        <w:t xml:space="preserve"> </w:t>
      </w:r>
      <w:proofErr w:type="spellStart"/>
      <w:r>
        <w:t>zapisa</w:t>
      </w:r>
      <w:proofErr w:type="spellEnd"/>
      <w:r>
        <w:t xml:space="preserve"> u </w:t>
      </w:r>
      <w:proofErr w:type="spellStart"/>
      <w:r>
        <w:t>financijskim</w:t>
      </w:r>
      <w:proofErr w:type="spellEnd"/>
      <w:r>
        <w:t xml:space="preserve"> </w:t>
      </w:r>
      <w:proofErr w:type="spellStart"/>
      <w:r>
        <w:t>izvještajima</w:t>
      </w:r>
      <w:proofErr w:type="spellEnd"/>
      <w:r>
        <w:t xml:space="preserve">. Za </w:t>
      </w:r>
      <w:proofErr w:type="spellStart"/>
      <w:r>
        <w:t>konačne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EU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poznate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očekuju</w:t>
      </w:r>
      <w:proofErr w:type="spellEnd"/>
      <w:r>
        <w:t xml:space="preserve"> u </w:t>
      </w:r>
      <w:proofErr w:type="spellStart"/>
      <w:r>
        <w:t>bilanci</w:t>
      </w:r>
      <w:proofErr w:type="spellEnd"/>
      <w:r>
        <w:t xml:space="preserve"> je </w:t>
      </w:r>
      <w:proofErr w:type="spellStart"/>
      <w:r>
        <w:t>iskazan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od 48.073,93 EUR. </w:t>
      </w:r>
      <w:proofErr w:type="spellStart"/>
      <w:r>
        <w:t>Zahvaljujući</w:t>
      </w:r>
      <w:proofErr w:type="spellEnd"/>
      <w:r>
        <w:t xml:space="preserve"> </w:t>
      </w:r>
      <w:proofErr w:type="spellStart"/>
      <w:r>
        <w:t>novim</w:t>
      </w:r>
      <w:proofErr w:type="spellEnd"/>
      <w:r>
        <w:t xml:space="preserve"> </w:t>
      </w:r>
      <w:proofErr w:type="spellStart"/>
      <w:r>
        <w:t>ugovorenim</w:t>
      </w:r>
      <w:proofErr w:type="spellEnd"/>
      <w:r>
        <w:t xml:space="preserve"> </w:t>
      </w:r>
      <w:proofErr w:type="spellStart"/>
      <w:r>
        <w:t>projektima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je </w:t>
      </w:r>
      <w:proofErr w:type="spellStart"/>
      <w:r>
        <w:t>vidljiva</w:t>
      </w:r>
      <w:proofErr w:type="spellEnd"/>
      <w:r>
        <w:t xml:space="preserve"> </w:t>
      </w:r>
      <w:proofErr w:type="spellStart"/>
      <w:r>
        <w:t>veća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 xml:space="preserve"> fakulteta </w:t>
      </w:r>
      <w:proofErr w:type="spellStart"/>
      <w:r>
        <w:t>financirana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EU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nastavlja</w:t>
      </w:r>
      <w:proofErr w:type="spellEnd"/>
      <w:r>
        <w:t xml:space="preserve"> </w:t>
      </w:r>
      <w:proofErr w:type="spellStart"/>
      <w:r>
        <w:t>pratiti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novi </w:t>
      </w:r>
      <w:proofErr w:type="spellStart"/>
      <w:r>
        <w:t>izvještaj</w:t>
      </w:r>
      <w:proofErr w:type="spellEnd"/>
      <w:r>
        <w:t>.</w:t>
      </w:r>
    </w:p>
    <w:p w14:paraId="29CCEA26" w14:textId="77777777" w:rsidR="00412B05" w:rsidRDefault="00412B05" w:rsidP="00014854">
      <w:pPr>
        <w:jc w:val="both"/>
        <w:rPr>
          <w:szCs w:val="24"/>
        </w:rPr>
      </w:pPr>
    </w:p>
    <w:p w14:paraId="5AE62239" w14:textId="36D1CDB2" w:rsidR="00014854" w:rsidRDefault="00014854" w:rsidP="00014854">
      <w:pPr>
        <w:jc w:val="both"/>
        <w:rPr>
          <w:szCs w:val="24"/>
        </w:rPr>
      </w:pPr>
      <w:proofErr w:type="spellStart"/>
      <w:r>
        <w:rPr>
          <w:szCs w:val="24"/>
        </w:rPr>
        <w:t>Izradili</w:t>
      </w:r>
      <w:proofErr w:type="spellEnd"/>
      <w:r>
        <w:rPr>
          <w:szCs w:val="24"/>
        </w:rPr>
        <w:t>: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1800"/>
        <w:gridCol w:w="3510"/>
      </w:tblGrid>
      <w:tr w:rsidR="00014854" w14:paraId="042E7E96" w14:textId="77777777" w:rsidTr="00412B05">
        <w:tc>
          <w:tcPr>
            <w:tcW w:w="4140" w:type="dxa"/>
          </w:tcPr>
          <w:p w14:paraId="49BBBFD2" w14:textId="77777777" w:rsidR="00014854" w:rsidRPr="00412B05" w:rsidRDefault="00014854" w:rsidP="00FB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3995693"/>
            <w:r w:rsidRPr="00412B05">
              <w:rPr>
                <w:rFonts w:ascii="Times New Roman" w:hAnsi="Times New Roman" w:cs="Times New Roman"/>
                <w:sz w:val="24"/>
                <w:szCs w:val="24"/>
              </w:rPr>
              <w:t>Rukovoditelj računovodstva:</w:t>
            </w:r>
          </w:p>
          <w:p w14:paraId="0F0B8CF1" w14:textId="4AD67CD7" w:rsidR="00014854" w:rsidRPr="00412B05" w:rsidRDefault="00014854" w:rsidP="00FB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05">
              <w:rPr>
                <w:rFonts w:ascii="Times New Roman" w:hAnsi="Times New Roman" w:cs="Times New Roman"/>
                <w:sz w:val="24"/>
                <w:szCs w:val="24"/>
              </w:rPr>
              <w:t>Lara Manojlović, univ.spec. oec.</w:t>
            </w:r>
          </w:p>
          <w:p w14:paraId="3234A06A" w14:textId="77777777" w:rsidR="00412B05" w:rsidRDefault="00412B05" w:rsidP="00FB73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38046" w14:textId="77777777" w:rsidR="00412B05" w:rsidRPr="00412B05" w:rsidRDefault="00412B05" w:rsidP="00FB73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0C9E06" w14:textId="77777777" w:rsidR="00014854" w:rsidRPr="00412B05" w:rsidRDefault="00014854" w:rsidP="00FB73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517268C" w14:textId="77777777" w:rsidR="00014854" w:rsidRPr="00412B05" w:rsidRDefault="00014854" w:rsidP="00FB73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54" w14:paraId="449810EE" w14:textId="77777777" w:rsidTr="00412B05">
        <w:trPr>
          <w:trHeight w:val="1043"/>
        </w:trPr>
        <w:tc>
          <w:tcPr>
            <w:tcW w:w="4140" w:type="dxa"/>
          </w:tcPr>
          <w:p w14:paraId="06BAFD0A" w14:textId="77777777" w:rsidR="00014854" w:rsidRPr="00412B05" w:rsidRDefault="00014854" w:rsidP="00FB73B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2B05">
              <w:rPr>
                <w:rFonts w:ascii="Times New Roman" w:hAnsi="Times New Roman" w:cs="Times New Roman"/>
                <w:sz w:val="24"/>
                <w:szCs w:val="24"/>
              </w:rPr>
              <w:t>Prodekan za financije i poslovanje:</w:t>
            </w:r>
          </w:p>
          <w:p w14:paraId="4E8A131E" w14:textId="77777777" w:rsidR="00014854" w:rsidRPr="00412B05" w:rsidRDefault="00014854" w:rsidP="00FB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05">
              <w:rPr>
                <w:rFonts w:ascii="Times New Roman" w:hAnsi="Times New Roman" w:cs="Times New Roman"/>
                <w:sz w:val="24"/>
                <w:szCs w:val="24"/>
              </w:rPr>
              <w:t>Doc. dr. sc. Sergej Baričević</w:t>
            </w:r>
          </w:p>
          <w:p w14:paraId="34240FD1" w14:textId="77777777" w:rsidR="00014854" w:rsidRPr="00412B05" w:rsidRDefault="00014854" w:rsidP="00FB73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67F9147" w14:textId="77777777" w:rsidR="00014854" w:rsidRPr="00412B05" w:rsidRDefault="00014854" w:rsidP="00FB73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6F52E27" w14:textId="77777777" w:rsidR="00014854" w:rsidRPr="00412B05" w:rsidRDefault="00014854" w:rsidP="00FB73B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2B05">
              <w:rPr>
                <w:rFonts w:ascii="Times New Roman" w:hAnsi="Times New Roman" w:cs="Times New Roman"/>
                <w:sz w:val="24"/>
                <w:szCs w:val="24"/>
              </w:rPr>
              <w:t>Dekan:</w:t>
            </w:r>
          </w:p>
          <w:p w14:paraId="46F87472" w14:textId="651BCBAF" w:rsidR="00014854" w:rsidRPr="00412B05" w:rsidRDefault="00014854" w:rsidP="00FB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05">
              <w:rPr>
                <w:rFonts w:ascii="Times New Roman" w:hAnsi="Times New Roman" w:cs="Times New Roman"/>
                <w:sz w:val="24"/>
                <w:szCs w:val="24"/>
              </w:rPr>
              <w:t>Prof. dr. sc. Mladen Zrinjski</w:t>
            </w:r>
          </w:p>
        </w:tc>
      </w:tr>
      <w:bookmarkEnd w:id="0"/>
    </w:tbl>
    <w:p w14:paraId="06A7AB68" w14:textId="77777777" w:rsidR="00B7743A" w:rsidRDefault="00B7743A" w:rsidP="00C84897"/>
    <w:sectPr w:rsidR="00B77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43A"/>
    <w:rsid w:val="00007983"/>
    <w:rsid w:val="00014854"/>
    <w:rsid w:val="003C219F"/>
    <w:rsid w:val="00412B05"/>
    <w:rsid w:val="00B7743A"/>
    <w:rsid w:val="00C21820"/>
    <w:rsid w:val="00C8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F636B"/>
  <w15:docId w15:val="{8BBD92FF-D687-4934-9003-8C4F08E1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85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Lara Manojlović</cp:lastModifiedBy>
  <cp:revision>5</cp:revision>
  <cp:lastPrinted>2026-01-30T10:08:00Z</cp:lastPrinted>
  <dcterms:created xsi:type="dcterms:W3CDTF">2026-01-30T09:45:00Z</dcterms:created>
  <dcterms:modified xsi:type="dcterms:W3CDTF">2026-01-30T10:10:00Z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25186c54-7add-489c-bc44-2c7785ae4540</vt:lpwstr>
  </property>
</Properties>
</file>